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680E" w:rsidRPr="00E916FE" w:rsidRDefault="00D1680E" w:rsidP="000900CF">
      <w:pPr>
        <w:jc w:val="center"/>
        <w:rPr>
          <w:b/>
          <w:sz w:val="28"/>
          <w:szCs w:val="28"/>
        </w:rPr>
      </w:pPr>
      <w:r w:rsidRPr="00E916FE">
        <w:rPr>
          <w:rFonts w:hint="eastAsia"/>
          <w:b/>
          <w:sz w:val="28"/>
          <w:szCs w:val="28"/>
        </w:rPr>
        <w:t>富滇银行关于增加代销易方达基金旗下部分基金的公告</w:t>
      </w:r>
    </w:p>
    <w:p w:rsidR="00D1680E" w:rsidRPr="00464873" w:rsidRDefault="00D1680E" w:rsidP="004C71B0">
      <w:pPr>
        <w:spacing w:line="360" w:lineRule="auto"/>
        <w:ind w:firstLineChars="250" w:firstLine="525"/>
        <w:rPr>
          <w:rFonts w:ascii="宋体"/>
          <w:szCs w:val="21"/>
        </w:rPr>
      </w:pPr>
    </w:p>
    <w:p w:rsidR="00D1680E" w:rsidRDefault="00D1680E" w:rsidP="006F64D9">
      <w:pPr>
        <w:widowControl/>
        <w:spacing w:line="405" w:lineRule="atLeast"/>
        <w:ind w:firstLine="405"/>
        <w:jc w:val="left"/>
        <w:rPr>
          <w:rFonts w:ascii="宋体"/>
          <w:szCs w:val="21"/>
        </w:rPr>
      </w:pPr>
      <w:r w:rsidRPr="007B059F">
        <w:rPr>
          <w:rFonts w:ascii="宋体" w:hAnsi="宋体" w:hint="eastAsia"/>
          <w:szCs w:val="21"/>
        </w:rPr>
        <w:t>根据</w:t>
      </w:r>
      <w:hyperlink r:id="rId7" w:tgtFrame="_blank" w:history="1">
        <w:r>
          <w:rPr>
            <w:rFonts w:ascii="宋体" w:hAnsi="宋体" w:hint="eastAsia"/>
            <w:szCs w:val="21"/>
          </w:rPr>
          <w:t>易方达</w:t>
        </w:r>
        <w:r w:rsidRPr="007B059F">
          <w:rPr>
            <w:rFonts w:ascii="宋体" w:hAnsi="宋体" w:hint="eastAsia"/>
            <w:szCs w:val="21"/>
          </w:rPr>
          <w:t>基金</w:t>
        </w:r>
      </w:hyperlink>
      <w:r w:rsidRPr="007B059F">
        <w:rPr>
          <w:rFonts w:ascii="宋体" w:hAnsi="宋体" w:hint="eastAsia"/>
          <w:szCs w:val="21"/>
        </w:rPr>
        <w:t>管理有限公司（以下简称“</w:t>
      </w:r>
      <w:r>
        <w:rPr>
          <w:rFonts w:ascii="宋体" w:hAnsi="宋体" w:hint="eastAsia"/>
          <w:szCs w:val="21"/>
        </w:rPr>
        <w:t>易方达</w:t>
      </w:r>
      <w:r w:rsidRPr="007B059F">
        <w:rPr>
          <w:rFonts w:ascii="宋体" w:hAnsi="宋体" w:hint="eastAsia"/>
          <w:szCs w:val="21"/>
        </w:rPr>
        <w:t>”）与</w:t>
      </w:r>
      <w:r>
        <w:rPr>
          <w:rFonts w:ascii="宋体" w:hAnsi="宋体" w:hint="eastAsia"/>
          <w:szCs w:val="21"/>
        </w:rPr>
        <w:t>富滇银行股份有限</w:t>
      </w:r>
      <w:r w:rsidRPr="009E39B1">
        <w:rPr>
          <w:rFonts w:ascii="宋体" w:hAnsi="宋体" w:hint="eastAsia"/>
          <w:szCs w:val="21"/>
        </w:rPr>
        <w:t>公司</w:t>
      </w:r>
      <w:r w:rsidRPr="007B059F">
        <w:rPr>
          <w:rFonts w:ascii="宋体" w:hAnsi="宋体" w:hint="eastAsia"/>
          <w:szCs w:val="21"/>
        </w:rPr>
        <w:t>（以下简称“</w:t>
      </w:r>
      <w:r>
        <w:rPr>
          <w:rFonts w:ascii="宋体" w:hAnsi="宋体" w:hint="eastAsia"/>
          <w:szCs w:val="21"/>
        </w:rPr>
        <w:t>我行</w:t>
      </w:r>
      <w:r w:rsidRPr="007B059F">
        <w:rPr>
          <w:rFonts w:ascii="宋体" w:hAnsi="宋体" w:hint="eastAsia"/>
          <w:szCs w:val="21"/>
        </w:rPr>
        <w:t>”）签署的销售</w:t>
      </w:r>
      <w:r>
        <w:rPr>
          <w:rFonts w:ascii="宋体" w:hAnsi="宋体" w:hint="eastAsia"/>
          <w:szCs w:val="21"/>
        </w:rPr>
        <w:t>合作</w:t>
      </w:r>
      <w:r w:rsidRPr="007B059F">
        <w:rPr>
          <w:rFonts w:ascii="宋体" w:hAnsi="宋体" w:hint="eastAsia"/>
          <w:szCs w:val="21"/>
        </w:rPr>
        <w:t>协议，</w:t>
      </w:r>
      <w:r>
        <w:rPr>
          <w:rFonts w:ascii="宋体" w:hAnsi="宋体" w:hint="eastAsia"/>
          <w:szCs w:val="21"/>
        </w:rPr>
        <w:t>我行</w:t>
      </w:r>
      <w:r w:rsidRPr="007B059F">
        <w:rPr>
          <w:rFonts w:ascii="宋体" w:hAnsi="宋体" w:hint="eastAsia"/>
          <w:szCs w:val="21"/>
        </w:rPr>
        <w:t>将自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3"/>
          <w:attr w:name="Year" w:val="2015"/>
        </w:smartTagPr>
        <w:r w:rsidRPr="007B059F">
          <w:rPr>
            <w:rFonts w:ascii="宋体" w:hAnsi="宋体"/>
            <w:szCs w:val="21"/>
          </w:rPr>
          <w:t>20</w:t>
        </w:r>
        <w:r>
          <w:rPr>
            <w:rFonts w:ascii="宋体" w:hAnsi="宋体"/>
            <w:szCs w:val="21"/>
          </w:rPr>
          <w:t>15</w:t>
        </w:r>
        <w:r w:rsidRPr="007B059F">
          <w:rPr>
            <w:rFonts w:ascii="宋体" w:hAnsi="宋体" w:hint="eastAsia"/>
            <w:szCs w:val="21"/>
          </w:rPr>
          <w:t>年</w:t>
        </w:r>
        <w:r>
          <w:rPr>
            <w:rFonts w:ascii="宋体" w:hAnsi="宋体"/>
            <w:szCs w:val="21"/>
          </w:rPr>
          <w:t>3</w:t>
        </w:r>
        <w:r>
          <w:rPr>
            <w:rFonts w:ascii="宋体" w:hAnsi="宋体" w:hint="eastAsia"/>
            <w:szCs w:val="21"/>
          </w:rPr>
          <w:t>月</w:t>
        </w:r>
        <w:r>
          <w:rPr>
            <w:rFonts w:ascii="宋体" w:hAnsi="宋体"/>
            <w:szCs w:val="21"/>
          </w:rPr>
          <w:t>3</w:t>
        </w:r>
        <w:r>
          <w:rPr>
            <w:rFonts w:ascii="宋体" w:hAnsi="宋体" w:hint="eastAsia"/>
            <w:szCs w:val="21"/>
          </w:rPr>
          <w:t>日</w:t>
        </w:r>
        <w:r w:rsidRPr="007B059F">
          <w:rPr>
            <w:rFonts w:ascii="宋体" w:hAnsi="宋体" w:hint="eastAsia"/>
            <w:szCs w:val="21"/>
          </w:rPr>
          <w:t>起</w:t>
        </w:r>
      </w:smartTag>
      <w:r w:rsidRPr="007B059F">
        <w:rPr>
          <w:rFonts w:ascii="宋体" w:hAnsi="宋体" w:hint="eastAsia"/>
          <w:szCs w:val="21"/>
        </w:rPr>
        <w:t>代理销售</w:t>
      </w:r>
      <w:r>
        <w:rPr>
          <w:rFonts w:ascii="宋体" w:hAnsi="宋体" w:hint="eastAsia"/>
          <w:szCs w:val="21"/>
        </w:rPr>
        <w:t>易方达旗下部分基金。</w:t>
      </w:r>
      <w:r w:rsidRPr="00F65360">
        <w:rPr>
          <w:rFonts w:ascii="宋体" w:hAnsi="宋体" w:hint="eastAsia"/>
          <w:szCs w:val="21"/>
        </w:rPr>
        <w:t>现将有关事项公告如下：</w:t>
      </w:r>
    </w:p>
    <w:p w:rsidR="00D1680E" w:rsidRPr="00F65360" w:rsidRDefault="00D1680E" w:rsidP="006F64D9">
      <w:pPr>
        <w:widowControl/>
        <w:spacing w:line="405" w:lineRule="atLeast"/>
        <w:ind w:firstLine="405"/>
        <w:jc w:val="left"/>
        <w:rPr>
          <w:rFonts w:ascii="宋体"/>
          <w:szCs w:val="21"/>
        </w:rPr>
      </w:pPr>
    </w:p>
    <w:p w:rsidR="00D1680E" w:rsidRPr="008D5F73" w:rsidRDefault="00D1680E" w:rsidP="0078358A">
      <w:pPr>
        <w:numPr>
          <w:ilvl w:val="0"/>
          <w:numId w:val="5"/>
        </w:numPr>
        <w:spacing w:line="360" w:lineRule="auto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适用</w:t>
      </w:r>
      <w:r w:rsidRPr="00F65360">
        <w:rPr>
          <w:rFonts w:ascii="宋体" w:hAnsi="宋体" w:hint="eastAsia"/>
          <w:b/>
          <w:szCs w:val="21"/>
        </w:rPr>
        <w:t>基金</w:t>
      </w:r>
      <w:r>
        <w:rPr>
          <w:rFonts w:ascii="宋体" w:hAnsi="宋体" w:hint="eastAsia"/>
          <w:b/>
          <w:szCs w:val="21"/>
        </w:rPr>
        <w:t>及</w:t>
      </w:r>
      <w:r w:rsidRPr="00F65360">
        <w:rPr>
          <w:rFonts w:ascii="宋体" w:hAnsi="宋体" w:hint="eastAsia"/>
          <w:b/>
          <w:szCs w:val="21"/>
        </w:rPr>
        <w:t>业务范围</w:t>
      </w:r>
    </w:p>
    <w:tbl>
      <w:tblPr>
        <w:tblW w:w="902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724"/>
        <w:gridCol w:w="1134"/>
        <w:gridCol w:w="3922"/>
        <w:gridCol w:w="1181"/>
        <w:gridCol w:w="979"/>
        <w:gridCol w:w="1080"/>
      </w:tblGrid>
      <w:tr w:rsidR="00D1680E" w:rsidRPr="00587310" w:rsidTr="001E5865">
        <w:trPr>
          <w:trHeight w:val="285"/>
        </w:trPr>
        <w:tc>
          <w:tcPr>
            <w:tcW w:w="724" w:type="dxa"/>
            <w:vAlign w:val="center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1134" w:type="dxa"/>
            <w:vAlign w:val="center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基金代码</w:t>
            </w:r>
          </w:p>
        </w:tc>
        <w:tc>
          <w:tcPr>
            <w:tcW w:w="3922" w:type="dxa"/>
            <w:vAlign w:val="center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1181" w:type="dxa"/>
            <w:vAlign w:val="center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定期定额投资</w:t>
            </w:r>
          </w:p>
        </w:tc>
        <w:tc>
          <w:tcPr>
            <w:tcW w:w="979" w:type="dxa"/>
            <w:vAlign w:val="center"/>
          </w:tcPr>
          <w:p w:rsidR="00D1680E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转换</w:t>
            </w:r>
          </w:p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业务</w:t>
            </w:r>
          </w:p>
        </w:tc>
        <w:tc>
          <w:tcPr>
            <w:tcW w:w="1080" w:type="dxa"/>
            <w:vAlign w:val="center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是否参加费率优惠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000147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易方达高等级信用债债券型基金</w:t>
            </w:r>
            <w:r w:rsidRPr="00587310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000148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易方达高等级信用债债券型基金</w:t>
            </w:r>
            <w:r w:rsidRPr="00587310">
              <w:rPr>
                <w:rFonts w:ascii="宋体" w:hAnsi="宋体" w:cs="宋体"/>
                <w:kern w:val="0"/>
                <w:szCs w:val="21"/>
              </w:rPr>
              <w:t>C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不参加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000205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易方达投资级信用债债券型基金</w:t>
            </w:r>
            <w:r w:rsidRPr="00587310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000206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易方达投资级信用债债券型基金</w:t>
            </w:r>
            <w:r w:rsidRPr="00587310">
              <w:rPr>
                <w:rFonts w:ascii="宋体" w:hAnsi="宋体" w:cs="宋体"/>
                <w:kern w:val="0"/>
                <w:szCs w:val="21"/>
              </w:rPr>
              <w:t>C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不参加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000404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易方达新兴成长灵活配置混合型基金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110001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易方达平稳增长混合型基金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110002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易方达策略成长混合型基金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110003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</w:t>
            </w:r>
            <w:r w:rsidRPr="00587310">
              <w:rPr>
                <w:rFonts w:ascii="宋体" w:hAnsi="宋体" w:cs="宋体"/>
                <w:kern w:val="0"/>
                <w:szCs w:val="21"/>
              </w:rPr>
              <w:t>50</w:t>
            </w:r>
            <w:r w:rsidRPr="00587310">
              <w:rPr>
                <w:rFonts w:ascii="宋体" w:hAnsi="宋体" w:cs="宋体" w:hint="eastAsia"/>
                <w:kern w:val="0"/>
                <w:szCs w:val="21"/>
              </w:rPr>
              <w:t>指数基金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110011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易方达中小盘股票型基金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110013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易方达科翔股票型基金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110017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易方达增强回报债券型基金</w:t>
            </w:r>
            <w:r w:rsidRPr="00587310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110018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易方达增强回报债券型基金</w:t>
            </w:r>
            <w:r w:rsidRPr="00587310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不参加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110019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易方达深证</w:t>
            </w:r>
            <w:r w:rsidRPr="00587310">
              <w:rPr>
                <w:rFonts w:ascii="宋体" w:hAnsi="宋体" w:cs="宋体"/>
                <w:kern w:val="0"/>
                <w:szCs w:val="21"/>
              </w:rPr>
              <w:t>100</w:t>
            </w:r>
            <w:r w:rsidRPr="00587310">
              <w:rPr>
                <w:rFonts w:ascii="宋体" w:hAnsi="宋体" w:cs="宋体" w:hint="eastAsia"/>
                <w:kern w:val="0"/>
                <w:szCs w:val="21"/>
              </w:rPr>
              <w:t>交易型开放式指数基金联接基金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110021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易方达上证中盘交易型开放式指数基金联接基金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110026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易方达创业板交易型开放式指数基金联接基金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110027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易方达安心回报债券型基金</w:t>
            </w:r>
            <w:r w:rsidRPr="00587310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110028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易方达安心回报债券型基金</w:t>
            </w:r>
            <w:r w:rsidRPr="00587310">
              <w:rPr>
                <w:rFonts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不参加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110030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易方达沪深</w:t>
            </w:r>
            <w:r w:rsidRPr="00587310">
              <w:rPr>
                <w:rFonts w:ascii="宋体" w:hAnsi="宋体" w:cs="宋体"/>
                <w:kern w:val="0"/>
                <w:szCs w:val="21"/>
              </w:rPr>
              <w:t>300</w:t>
            </w:r>
            <w:r w:rsidRPr="00587310">
              <w:rPr>
                <w:rFonts w:ascii="宋体" w:hAnsi="宋体" w:cs="宋体" w:hint="eastAsia"/>
                <w:kern w:val="0"/>
                <w:szCs w:val="21"/>
              </w:rPr>
              <w:t>量化增强基金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110037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易方达纯债债券型基金</w:t>
            </w:r>
            <w:r w:rsidRPr="00587310">
              <w:rPr>
                <w:rFonts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参加</w:t>
            </w:r>
          </w:p>
        </w:tc>
      </w:tr>
      <w:tr w:rsidR="00D1680E" w:rsidRPr="00587310" w:rsidTr="001E5865">
        <w:trPr>
          <w:trHeight w:val="285"/>
        </w:trPr>
        <w:tc>
          <w:tcPr>
            <w:tcW w:w="72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134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/>
                <w:kern w:val="0"/>
                <w:szCs w:val="21"/>
              </w:rPr>
              <w:t>110038</w:t>
            </w:r>
          </w:p>
        </w:tc>
        <w:tc>
          <w:tcPr>
            <w:tcW w:w="3922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易方达纯债债券型基金</w:t>
            </w:r>
            <w:r w:rsidRPr="00587310">
              <w:rPr>
                <w:rFonts w:ascii="宋体" w:hAnsi="宋体" w:cs="宋体"/>
                <w:kern w:val="0"/>
                <w:szCs w:val="21"/>
              </w:rPr>
              <w:t>C</w:t>
            </w:r>
          </w:p>
        </w:tc>
        <w:tc>
          <w:tcPr>
            <w:tcW w:w="1181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979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开通</w:t>
            </w:r>
          </w:p>
        </w:tc>
        <w:tc>
          <w:tcPr>
            <w:tcW w:w="1080" w:type="dxa"/>
          </w:tcPr>
          <w:p w:rsidR="00D1680E" w:rsidRPr="00587310" w:rsidRDefault="00D1680E" w:rsidP="001E586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587310">
              <w:rPr>
                <w:rFonts w:ascii="宋体" w:hAnsi="宋体" w:cs="宋体" w:hint="eastAsia"/>
                <w:kern w:val="0"/>
                <w:szCs w:val="21"/>
              </w:rPr>
              <w:t>不参加</w:t>
            </w:r>
          </w:p>
        </w:tc>
      </w:tr>
    </w:tbl>
    <w:p w:rsidR="00D1680E" w:rsidRDefault="00D1680E" w:rsidP="006F64D9">
      <w:pPr>
        <w:widowControl/>
        <w:spacing w:line="405" w:lineRule="atLeast"/>
        <w:ind w:firstLine="405"/>
        <w:jc w:val="left"/>
        <w:rPr>
          <w:rFonts w:ascii="宋体"/>
          <w:szCs w:val="21"/>
        </w:rPr>
      </w:pPr>
    </w:p>
    <w:p w:rsidR="00D1680E" w:rsidRDefault="00D1680E" w:rsidP="006F64D9">
      <w:pPr>
        <w:numPr>
          <w:ilvl w:val="0"/>
          <w:numId w:val="5"/>
        </w:numPr>
        <w:spacing w:line="360" w:lineRule="auto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重要提示</w:t>
      </w:r>
    </w:p>
    <w:p w:rsidR="00D1680E" w:rsidRPr="000408D1" w:rsidRDefault="00D1680E" w:rsidP="00131F39">
      <w:pPr>
        <w:spacing w:line="360" w:lineRule="auto"/>
        <w:ind w:firstLineChars="200" w:firstLine="420"/>
        <w:jc w:val="left"/>
        <w:rPr>
          <w:rFonts w:ascii="宋体"/>
          <w:szCs w:val="21"/>
        </w:rPr>
      </w:pPr>
      <w:r>
        <w:rPr>
          <w:rStyle w:val="CommentReference"/>
          <w:rFonts w:ascii="宋体" w:hAnsi="宋体" w:cs="Arial Unicode MS"/>
        </w:rPr>
        <w:t>1</w:t>
      </w:r>
      <w:r>
        <w:rPr>
          <w:rStyle w:val="CommentReference"/>
          <w:rFonts w:ascii="宋体" w:hAnsi="宋体" w:cs="Arial Unicode MS" w:hint="eastAsia"/>
        </w:rPr>
        <w:t>、</w:t>
      </w:r>
      <w:r w:rsidRPr="000408D1">
        <w:rPr>
          <w:rStyle w:val="CommentReference"/>
          <w:rFonts w:ascii="宋体" w:hAnsi="宋体" w:cs="Arial Unicode MS" w:hint="eastAsia"/>
        </w:rPr>
        <w:t>投资者可通过</w:t>
      </w:r>
      <w:r w:rsidRPr="00C375F7">
        <w:rPr>
          <w:rStyle w:val="HTMLTypewriter"/>
          <w:rFonts w:cs="Arial Unicode MS" w:hint="eastAsia"/>
          <w:sz w:val="21"/>
          <w:szCs w:val="21"/>
        </w:rPr>
        <w:t>我行</w:t>
      </w:r>
      <w:r w:rsidRPr="000408D1">
        <w:rPr>
          <w:rStyle w:val="CommentReference"/>
          <w:rFonts w:ascii="宋体" w:hAnsi="宋体" w:cs="Arial Unicode MS" w:hint="eastAsia"/>
        </w:rPr>
        <w:t>办理开户及列表中对应基金的申购、赎回</w:t>
      </w:r>
      <w:r>
        <w:rPr>
          <w:rStyle w:val="CommentReference"/>
          <w:rFonts w:ascii="宋体" w:hAnsi="宋体" w:cs="Arial Unicode MS" w:hint="eastAsia"/>
        </w:rPr>
        <w:t>、</w:t>
      </w:r>
      <w:r w:rsidRPr="000408D1">
        <w:rPr>
          <w:rStyle w:val="CommentReference"/>
          <w:rFonts w:ascii="宋体" w:hAnsi="宋体" w:cs="Arial Unicode MS" w:hint="eastAsia"/>
        </w:rPr>
        <w:t>转换</w:t>
      </w:r>
      <w:r>
        <w:rPr>
          <w:rStyle w:val="CommentReference"/>
          <w:rFonts w:ascii="宋体" w:hAnsi="宋体" w:cs="Arial Unicode MS" w:hint="eastAsia"/>
        </w:rPr>
        <w:t>及定期定额投资等</w:t>
      </w:r>
      <w:r w:rsidRPr="000408D1">
        <w:rPr>
          <w:rStyle w:val="CommentReference"/>
          <w:rFonts w:ascii="宋体" w:hAnsi="宋体" w:cs="Arial Unicode MS" w:hint="eastAsia"/>
        </w:rPr>
        <w:t>业务，具体的业务流程、办理时间和办理方式以</w:t>
      </w:r>
      <w:r>
        <w:rPr>
          <w:rStyle w:val="CommentReference"/>
          <w:rFonts w:ascii="宋体" w:hAnsi="宋体" w:cs="Arial Unicode MS" w:hint="eastAsia"/>
        </w:rPr>
        <w:t>我行</w:t>
      </w:r>
      <w:r w:rsidRPr="000408D1">
        <w:rPr>
          <w:rStyle w:val="CommentReference"/>
          <w:rFonts w:ascii="宋体" w:hAnsi="宋体" w:cs="Arial Unicode MS" w:hint="eastAsia"/>
        </w:rPr>
        <w:t>的规定为准。</w:t>
      </w:r>
    </w:p>
    <w:p w:rsidR="00D1680E" w:rsidRPr="00C375F7" w:rsidRDefault="00D1680E" w:rsidP="00131F39">
      <w:pPr>
        <w:spacing w:line="360" w:lineRule="auto"/>
        <w:ind w:firstLineChars="200" w:firstLine="420"/>
        <w:rPr>
          <w:rFonts w:ascii="宋体"/>
          <w:b/>
          <w:szCs w:val="21"/>
        </w:rPr>
      </w:pPr>
      <w:r>
        <w:rPr>
          <w:rFonts w:ascii="宋体" w:hAnsi="宋体" w:cs="Arial Unicode MS"/>
          <w:kern w:val="0"/>
          <w:szCs w:val="21"/>
        </w:rPr>
        <w:t>2</w:t>
      </w:r>
      <w:r>
        <w:rPr>
          <w:rFonts w:ascii="宋体" w:hAnsi="宋体" w:cs="Arial Unicode MS" w:hint="eastAsia"/>
          <w:kern w:val="0"/>
          <w:szCs w:val="21"/>
        </w:rPr>
        <w:t>、</w:t>
      </w:r>
      <w:r w:rsidRPr="000408D1">
        <w:rPr>
          <w:rFonts w:ascii="宋体" w:hAnsi="宋体" w:cs="Arial Unicode MS" w:hint="eastAsia"/>
          <w:kern w:val="0"/>
          <w:szCs w:val="21"/>
        </w:rPr>
        <w:t>投资者</w:t>
      </w:r>
      <w:r w:rsidRPr="000408D1">
        <w:rPr>
          <w:rFonts w:ascii="宋体" w:hAnsi="宋体" w:hint="eastAsia"/>
          <w:bCs/>
          <w:szCs w:val="21"/>
        </w:rPr>
        <w:t>通过</w:t>
      </w:r>
      <w:r>
        <w:rPr>
          <w:rFonts w:ascii="宋体" w:hAnsi="宋体" w:hint="eastAsia"/>
          <w:bCs/>
          <w:szCs w:val="21"/>
        </w:rPr>
        <w:t>我行</w:t>
      </w:r>
      <w:r w:rsidRPr="000408D1">
        <w:rPr>
          <w:rFonts w:ascii="宋体" w:hAnsi="宋体" w:hint="eastAsia"/>
          <w:bCs/>
          <w:szCs w:val="21"/>
        </w:rPr>
        <w:t>办理</w:t>
      </w:r>
      <w:r w:rsidRPr="000408D1">
        <w:rPr>
          <w:rFonts w:ascii="宋体" w:hAnsi="宋体" w:cs="Arial Unicode MS" w:hint="eastAsia"/>
          <w:kern w:val="0"/>
          <w:szCs w:val="21"/>
        </w:rPr>
        <w:t>定期定额投资业务，起点金额为</w:t>
      </w:r>
      <w:r>
        <w:rPr>
          <w:rFonts w:ascii="宋体" w:hAnsi="宋体" w:cs="Arial Unicode MS"/>
          <w:kern w:val="0"/>
          <w:szCs w:val="21"/>
        </w:rPr>
        <w:t>3</w:t>
      </w:r>
      <w:r w:rsidRPr="000408D1">
        <w:rPr>
          <w:rFonts w:ascii="宋体" w:cs="Arial Unicode MS"/>
          <w:kern w:val="0"/>
          <w:szCs w:val="21"/>
        </w:rPr>
        <w:t>00</w:t>
      </w:r>
      <w:r w:rsidRPr="000408D1">
        <w:rPr>
          <w:rFonts w:ascii="宋体" w:hAnsi="宋体" w:cs="Arial Unicode MS" w:hint="eastAsia"/>
          <w:kern w:val="0"/>
          <w:szCs w:val="21"/>
        </w:rPr>
        <w:t>元。</w:t>
      </w:r>
    </w:p>
    <w:p w:rsidR="00D1680E" w:rsidRDefault="00D1680E" w:rsidP="00131F39">
      <w:pPr>
        <w:widowControl/>
        <w:spacing w:line="405" w:lineRule="atLeast"/>
        <w:ind w:firstLine="405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、投资人</w:t>
      </w:r>
      <w:r w:rsidRPr="009F7B41">
        <w:rPr>
          <w:rFonts w:hint="eastAsia"/>
          <w:szCs w:val="21"/>
        </w:rPr>
        <w:t>通过</w:t>
      </w:r>
      <w:r>
        <w:rPr>
          <w:rFonts w:ascii="宋体" w:hAnsi="宋体" w:hint="eastAsia"/>
          <w:szCs w:val="21"/>
        </w:rPr>
        <w:t>富滇银行</w:t>
      </w:r>
      <w:r w:rsidRPr="009F7B41">
        <w:rPr>
          <w:rFonts w:hint="eastAsia"/>
          <w:szCs w:val="21"/>
        </w:rPr>
        <w:t>网上</w:t>
      </w:r>
      <w:r>
        <w:rPr>
          <w:rFonts w:hint="eastAsia"/>
          <w:szCs w:val="21"/>
        </w:rPr>
        <w:t>银行</w:t>
      </w:r>
      <w:r w:rsidRPr="009F7B41">
        <w:rPr>
          <w:rFonts w:hint="eastAsia"/>
          <w:szCs w:val="21"/>
        </w:rPr>
        <w:t>成功办理</w:t>
      </w:r>
      <w:r>
        <w:rPr>
          <w:rFonts w:hint="eastAsia"/>
          <w:szCs w:val="21"/>
        </w:rPr>
        <w:t>上述列表中参加费率优惠的</w:t>
      </w:r>
      <w:r w:rsidRPr="009F7B41">
        <w:rPr>
          <w:rFonts w:hint="eastAsia"/>
          <w:szCs w:val="21"/>
        </w:rPr>
        <w:t>基金</w:t>
      </w:r>
      <w:r>
        <w:rPr>
          <w:rFonts w:hint="eastAsia"/>
          <w:szCs w:val="21"/>
        </w:rPr>
        <w:t>的</w:t>
      </w:r>
      <w:r w:rsidRPr="009F7B41">
        <w:rPr>
          <w:rFonts w:hint="eastAsia"/>
          <w:szCs w:val="21"/>
        </w:rPr>
        <w:t>申购或定投业务，其前端申购费率享有四折优惠。原申购费率高于</w:t>
      </w:r>
      <w:r w:rsidRPr="009F7B41">
        <w:rPr>
          <w:szCs w:val="21"/>
        </w:rPr>
        <w:t>0.6%</w:t>
      </w:r>
      <w:r w:rsidRPr="009F7B41">
        <w:rPr>
          <w:rFonts w:hint="eastAsia"/>
          <w:szCs w:val="21"/>
        </w:rPr>
        <w:t>的，优惠为原费率的四折，且不低于</w:t>
      </w:r>
      <w:r w:rsidRPr="009F7B41">
        <w:rPr>
          <w:szCs w:val="21"/>
        </w:rPr>
        <w:t>0.6</w:t>
      </w:r>
      <w:r w:rsidRPr="009F7B41">
        <w:rPr>
          <w:rFonts w:hint="eastAsia"/>
          <w:szCs w:val="21"/>
        </w:rPr>
        <w:t>％；原申购费率等于低于</w:t>
      </w:r>
      <w:r w:rsidRPr="009F7B41">
        <w:rPr>
          <w:szCs w:val="21"/>
        </w:rPr>
        <w:t>0.6</w:t>
      </w:r>
      <w:r w:rsidRPr="009F7B41">
        <w:rPr>
          <w:rFonts w:hint="eastAsia"/>
          <w:szCs w:val="21"/>
        </w:rPr>
        <w:t>％的，仍按原费率执行。</w:t>
      </w:r>
    </w:p>
    <w:p w:rsidR="00D1680E" w:rsidRPr="00131F39" w:rsidRDefault="00D1680E" w:rsidP="006126F0">
      <w:pPr>
        <w:spacing w:line="360" w:lineRule="auto"/>
        <w:ind w:left="420"/>
        <w:rPr>
          <w:rFonts w:ascii="宋体"/>
          <w:szCs w:val="21"/>
        </w:rPr>
      </w:pPr>
    </w:p>
    <w:p w:rsidR="00D1680E" w:rsidRPr="006F64D9" w:rsidRDefault="00D1680E" w:rsidP="006F64D9">
      <w:pPr>
        <w:numPr>
          <w:ilvl w:val="0"/>
          <w:numId w:val="5"/>
        </w:numPr>
        <w:spacing w:line="360" w:lineRule="auto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投资人</w:t>
      </w:r>
      <w:r w:rsidRPr="006F64D9">
        <w:rPr>
          <w:rFonts w:ascii="宋体" w:hAnsi="宋体" w:hint="eastAsia"/>
          <w:b/>
          <w:szCs w:val="21"/>
        </w:rPr>
        <w:t>可通过以下途径了解或咨询相关情况：</w:t>
      </w:r>
    </w:p>
    <w:p w:rsidR="00D1680E" w:rsidRPr="000149EE" w:rsidRDefault="00D1680E" w:rsidP="006F64D9">
      <w:pPr>
        <w:spacing w:line="360" w:lineRule="auto"/>
        <w:ind w:left="420"/>
        <w:rPr>
          <w:rFonts w:ascii="宋体" w:hAnsi="宋体"/>
          <w:szCs w:val="21"/>
        </w:rPr>
      </w:pPr>
      <w:r w:rsidRPr="000149EE">
        <w:rPr>
          <w:rFonts w:ascii="宋体" w:hAnsi="宋体" w:hint="eastAsia"/>
          <w:szCs w:val="21"/>
        </w:rPr>
        <w:t>富滇银行客服电话：</w:t>
      </w:r>
      <w:r w:rsidRPr="000149EE">
        <w:rPr>
          <w:rFonts w:ascii="宋体" w:hAnsi="宋体"/>
          <w:szCs w:val="21"/>
        </w:rPr>
        <w:t>4008896533</w:t>
      </w:r>
    </w:p>
    <w:p w:rsidR="00D1680E" w:rsidRPr="000149EE" w:rsidRDefault="00D1680E" w:rsidP="006F64D9">
      <w:pPr>
        <w:spacing w:line="360" w:lineRule="auto"/>
        <w:ind w:left="420"/>
        <w:rPr>
          <w:rFonts w:ascii="宋体"/>
          <w:szCs w:val="21"/>
        </w:rPr>
      </w:pPr>
      <w:r w:rsidRPr="000149EE">
        <w:rPr>
          <w:rFonts w:ascii="宋体" w:hAnsi="宋体" w:hint="eastAsia"/>
          <w:szCs w:val="21"/>
        </w:rPr>
        <w:t>富滇银行网址：</w:t>
      </w:r>
      <w:r w:rsidRPr="000149EE">
        <w:rPr>
          <w:rFonts w:ascii="宋体" w:hAnsi="宋体"/>
          <w:szCs w:val="21"/>
        </w:rPr>
        <w:t xml:space="preserve"> </w:t>
      </w:r>
      <w:hyperlink r:id="rId8" w:history="1">
        <w:r w:rsidRPr="000149EE">
          <w:rPr>
            <w:rStyle w:val="Hyperlink"/>
            <w:rFonts w:ascii="宋体" w:hAnsi="宋体"/>
            <w:szCs w:val="21"/>
          </w:rPr>
          <w:t>www.fudian-bank.com</w:t>
        </w:r>
      </w:hyperlink>
    </w:p>
    <w:p w:rsidR="00D1680E" w:rsidRPr="000149EE" w:rsidRDefault="00D1680E" w:rsidP="000149EE">
      <w:pPr>
        <w:spacing w:line="360" w:lineRule="auto"/>
        <w:ind w:firstLineChars="200" w:firstLine="420"/>
        <w:jc w:val="left"/>
        <w:rPr>
          <w:rFonts w:ascii="宋体" w:cs="Arial Unicode MS"/>
          <w:szCs w:val="21"/>
        </w:rPr>
      </w:pPr>
      <w:r w:rsidRPr="000149EE">
        <w:rPr>
          <w:rFonts w:ascii="宋体" w:hAnsi="宋体" w:cs="Arial Unicode MS" w:hint="eastAsia"/>
          <w:szCs w:val="21"/>
        </w:rPr>
        <w:t>易方达基金管理有限公司</w:t>
      </w:r>
    </w:p>
    <w:p w:rsidR="00D1680E" w:rsidRPr="000149EE" w:rsidRDefault="00D1680E" w:rsidP="000149EE">
      <w:pPr>
        <w:spacing w:line="360" w:lineRule="auto"/>
        <w:ind w:firstLineChars="200" w:firstLine="420"/>
        <w:jc w:val="left"/>
        <w:rPr>
          <w:rFonts w:ascii="宋体" w:cs="Arial Unicode MS"/>
          <w:szCs w:val="21"/>
        </w:rPr>
      </w:pPr>
      <w:r w:rsidRPr="000149EE">
        <w:rPr>
          <w:rStyle w:val="HTMLTypewriter"/>
          <w:rFonts w:cs="Arial Unicode MS" w:hint="eastAsia"/>
          <w:sz w:val="21"/>
          <w:szCs w:val="21"/>
        </w:rPr>
        <w:t>客户服务电话：</w:t>
      </w:r>
      <w:r w:rsidRPr="000149EE">
        <w:rPr>
          <w:rStyle w:val="HTMLTypewriter"/>
          <w:rFonts w:cs="Arial Unicode MS"/>
          <w:sz w:val="21"/>
          <w:szCs w:val="21"/>
        </w:rPr>
        <w:t xml:space="preserve">400-881-8088 </w:t>
      </w:r>
    </w:p>
    <w:p w:rsidR="00D1680E" w:rsidRPr="000149EE" w:rsidRDefault="00D1680E" w:rsidP="000149EE">
      <w:pPr>
        <w:spacing w:line="360" w:lineRule="auto"/>
        <w:ind w:left="420"/>
        <w:rPr>
          <w:rFonts w:ascii="宋体"/>
          <w:szCs w:val="21"/>
        </w:rPr>
      </w:pPr>
      <w:r w:rsidRPr="000149EE">
        <w:rPr>
          <w:rStyle w:val="HTMLTypewriter"/>
          <w:rFonts w:cs="Arial Unicode MS" w:hint="eastAsia"/>
          <w:sz w:val="21"/>
          <w:szCs w:val="21"/>
        </w:rPr>
        <w:t>网址：</w:t>
      </w:r>
      <w:hyperlink r:id="rId9" w:history="1">
        <w:r w:rsidRPr="000149EE">
          <w:rPr>
            <w:rStyle w:val="Hyperlink"/>
            <w:rFonts w:ascii="宋体" w:hAnsi="宋体" w:cs="Arial Unicode MS"/>
            <w:szCs w:val="21"/>
          </w:rPr>
          <w:t>www.efunds.com.cn</w:t>
        </w:r>
      </w:hyperlink>
    </w:p>
    <w:p w:rsidR="00D1680E" w:rsidRPr="00CD1D6E" w:rsidRDefault="00D1680E" w:rsidP="006F64D9">
      <w:pPr>
        <w:numPr>
          <w:ilvl w:val="0"/>
          <w:numId w:val="5"/>
        </w:numPr>
        <w:spacing w:line="360" w:lineRule="auto"/>
        <w:rPr>
          <w:rFonts w:ascii="宋体"/>
          <w:b/>
          <w:szCs w:val="21"/>
        </w:rPr>
      </w:pPr>
      <w:r w:rsidRPr="00CD1D6E">
        <w:rPr>
          <w:rFonts w:ascii="宋体" w:hAnsi="宋体" w:hint="eastAsia"/>
          <w:b/>
          <w:szCs w:val="21"/>
        </w:rPr>
        <w:t>风险提示：</w:t>
      </w:r>
    </w:p>
    <w:p w:rsidR="00D1680E" w:rsidRPr="006F64D9" w:rsidRDefault="00D1680E" w:rsidP="006F64D9">
      <w:pPr>
        <w:widowControl/>
        <w:spacing w:line="405" w:lineRule="atLeast"/>
        <w:ind w:firstLine="405"/>
        <w:jc w:val="left"/>
        <w:rPr>
          <w:rFonts w:ascii="宋体"/>
          <w:szCs w:val="21"/>
        </w:rPr>
      </w:pPr>
      <w:r w:rsidRPr="006F64D9">
        <w:rPr>
          <w:rFonts w:ascii="宋体" w:hAnsi="宋体"/>
          <w:szCs w:val="21"/>
        </w:rPr>
        <w:t>1</w:t>
      </w:r>
      <w:r w:rsidRPr="006F64D9">
        <w:rPr>
          <w:rFonts w:ascii="宋体" w:hAnsi="宋体" w:hint="eastAsia"/>
          <w:szCs w:val="21"/>
        </w:rPr>
        <w:t>、投资人应当认真阅读《基金合同》、《招募说明书》等基金法律文件，了解基金的风险收益特征，并根据自身的投资目的、投资期限、投资经验、资产状况等判断基金是否和投资人的风险承受能力相适应。</w:t>
      </w:r>
    </w:p>
    <w:p w:rsidR="00D1680E" w:rsidRDefault="00D1680E" w:rsidP="006F64D9">
      <w:pPr>
        <w:widowControl/>
        <w:spacing w:line="405" w:lineRule="atLeast"/>
        <w:ind w:firstLine="405"/>
        <w:jc w:val="left"/>
        <w:rPr>
          <w:rFonts w:ascii="宋体"/>
          <w:szCs w:val="21"/>
        </w:rPr>
      </w:pPr>
      <w:r w:rsidRPr="006F64D9">
        <w:rPr>
          <w:rFonts w:ascii="宋体" w:hAnsi="宋体"/>
          <w:szCs w:val="21"/>
        </w:rPr>
        <w:t>2</w:t>
      </w:r>
      <w:r w:rsidRPr="006F64D9">
        <w:rPr>
          <w:rFonts w:ascii="宋体" w:hAnsi="宋体" w:hint="eastAsia"/>
          <w:szCs w:val="21"/>
        </w:rPr>
        <w:t>、投资人应当充分了解基金定投和零存整取等储蓄方式的区别。定期定额投资是引导投资人进行长期投资、平均投资成本的一种简单易行的投资方式。但是定投并不能规避基金投资所固有的风险，不能保证投资人获得收益，也不是替代储蓄的等效理财方式。</w:t>
      </w:r>
    </w:p>
    <w:p w:rsidR="00D1680E" w:rsidRDefault="00D1680E" w:rsidP="006F64D9">
      <w:pPr>
        <w:widowControl/>
        <w:spacing w:line="405" w:lineRule="atLeast"/>
        <w:ind w:firstLine="405"/>
        <w:jc w:val="left"/>
        <w:rPr>
          <w:rFonts w:ascii="宋体"/>
          <w:szCs w:val="21"/>
        </w:rPr>
      </w:pPr>
    </w:p>
    <w:p w:rsidR="00D1680E" w:rsidRPr="007B059F" w:rsidRDefault="00D1680E" w:rsidP="000E5625">
      <w:pPr>
        <w:spacing w:line="360" w:lineRule="auto"/>
        <w:ind w:firstLineChars="200" w:firstLine="420"/>
        <w:rPr>
          <w:rFonts w:ascii="宋体"/>
          <w:szCs w:val="21"/>
        </w:rPr>
      </w:pPr>
      <w:r w:rsidRPr="007B059F">
        <w:rPr>
          <w:rFonts w:ascii="宋体" w:hAnsi="宋体" w:hint="eastAsia"/>
          <w:szCs w:val="21"/>
        </w:rPr>
        <w:t>特此公告</w:t>
      </w:r>
    </w:p>
    <w:p w:rsidR="00D1680E" w:rsidRPr="007B059F" w:rsidRDefault="00D1680E" w:rsidP="000E5625">
      <w:pPr>
        <w:spacing w:line="360" w:lineRule="auto"/>
        <w:ind w:firstLineChars="200" w:firstLine="420"/>
        <w:rPr>
          <w:rFonts w:ascii="宋体"/>
          <w:szCs w:val="21"/>
        </w:rPr>
      </w:pPr>
    </w:p>
    <w:p w:rsidR="00D1680E" w:rsidRPr="007B059F" w:rsidRDefault="00D1680E" w:rsidP="00276A6C">
      <w:pPr>
        <w:spacing w:line="360" w:lineRule="auto"/>
        <w:ind w:firstLineChars="200" w:firstLine="420"/>
        <w:jc w:val="right"/>
        <w:rPr>
          <w:rFonts w:ascii="宋体"/>
          <w:szCs w:val="21"/>
        </w:rPr>
      </w:pPr>
      <w:r w:rsidRPr="007B059F">
        <w:rPr>
          <w:rFonts w:ascii="宋体" w:hAnsi="宋体"/>
          <w:szCs w:val="21"/>
        </w:rPr>
        <w:t xml:space="preserve">  </w:t>
      </w:r>
      <w:r w:rsidRPr="007B059F">
        <w:rPr>
          <w:rFonts w:ascii="宋体" w:hAnsi="宋体" w:hint="eastAsia"/>
          <w:szCs w:val="21"/>
        </w:rPr>
        <w:t xml:space="preserve">　　</w:t>
      </w:r>
      <w:r w:rsidRPr="007B059F">
        <w:rPr>
          <w:rFonts w:ascii="宋体" w:hAnsi="宋体"/>
          <w:szCs w:val="21"/>
        </w:rPr>
        <w:t xml:space="preserve">                                       </w:t>
      </w:r>
      <w:r>
        <w:rPr>
          <w:rFonts w:ascii="宋体" w:hAnsi="宋体" w:hint="eastAsia"/>
          <w:szCs w:val="21"/>
        </w:rPr>
        <w:t>富滇银行股份</w:t>
      </w:r>
      <w:r w:rsidRPr="007B059F">
        <w:rPr>
          <w:rFonts w:ascii="宋体" w:hAnsi="宋体" w:hint="eastAsia"/>
          <w:szCs w:val="21"/>
        </w:rPr>
        <w:t>有限公司</w:t>
      </w:r>
    </w:p>
    <w:p w:rsidR="00D1680E" w:rsidRPr="007B059F" w:rsidRDefault="00D1680E" w:rsidP="00276A6C">
      <w:pPr>
        <w:spacing w:line="360" w:lineRule="auto"/>
        <w:ind w:firstLineChars="200" w:firstLine="420"/>
        <w:jc w:val="right"/>
        <w:rPr>
          <w:rFonts w:ascii="宋体"/>
          <w:szCs w:val="21"/>
        </w:rPr>
      </w:pPr>
      <w:r w:rsidRPr="007B059F">
        <w:rPr>
          <w:rFonts w:ascii="宋体" w:hAnsi="宋体"/>
          <w:szCs w:val="21"/>
        </w:rPr>
        <w:t xml:space="preserve"> </w:t>
      </w:r>
      <w:r w:rsidRPr="007B059F">
        <w:rPr>
          <w:rFonts w:ascii="宋体" w:hAnsi="宋体" w:hint="eastAsia"/>
          <w:szCs w:val="21"/>
        </w:rPr>
        <w:t>二〇一</w:t>
      </w:r>
      <w:r>
        <w:rPr>
          <w:rFonts w:ascii="宋体" w:hAnsi="宋体" w:hint="eastAsia"/>
          <w:szCs w:val="21"/>
        </w:rPr>
        <w:t>五</w:t>
      </w:r>
      <w:r w:rsidRPr="007B059F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三月三日</w:t>
      </w:r>
    </w:p>
    <w:p w:rsidR="00D1680E" w:rsidRPr="00912DB1" w:rsidRDefault="00D1680E" w:rsidP="000E5625">
      <w:pPr>
        <w:spacing w:line="360" w:lineRule="auto"/>
        <w:ind w:right="420"/>
        <w:rPr>
          <w:rFonts w:ascii="宋体"/>
          <w:szCs w:val="21"/>
        </w:rPr>
      </w:pPr>
    </w:p>
    <w:sectPr w:rsidR="00D1680E" w:rsidRPr="00912DB1" w:rsidSect="006126F0">
      <w:pgSz w:w="11906" w:h="16838"/>
      <w:pgMar w:top="1843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0E" w:rsidRDefault="00D1680E" w:rsidP="00154BC4">
      <w:r>
        <w:separator/>
      </w:r>
    </w:p>
  </w:endnote>
  <w:endnote w:type="continuationSeparator" w:id="0">
    <w:p w:rsidR="00D1680E" w:rsidRDefault="00D1680E" w:rsidP="0015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0E" w:rsidRDefault="00D1680E" w:rsidP="00154BC4">
      <w:r>
        <w:separator/>
      </w:r>
    </w:p>
  </w:footnote>
  <w:footnote w:type="continuationSeparator" w:id="0">
    <w:p w:rsidR="00D1680E" w:rsidRDefault="00D1680E" w:rsidP="00154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C41508"/>
    <w:multiLevelType w:val="hybridMultilevel"/>
    <w:tmpl w:val="73C273B4"/>
    <w:lvl w:ilvl="0" w:tplc="03BC85C6">
      <w:start w:val="1"/>
      <w:numFmt w:val="chineseCountingThousand"/>
      <w:lvlText w:val="%1、"/>
      <w:lvlJc w:val="left"/>
      <w:pPr>
        <w:tabs>
          <w:tab w:val="num" w:pos="-1134"/>
        </w:tabs>
        <w:ind w:left="567" w:hanging="567"/>
      </w:pPr>
      <w:rPr>
        <w:rFonts w:cs="Times New Roman" w:hint="default"/>
      </w:rPr>
    </w:lvl>
    <w:lvl w:ilvl="1" w:tplc="D3305A06">
      <w:start w:val="1"/>
      <w:numFmt w:val="decimal"/>
      <w:lvlText w:val="%2．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A337C89"/>
    <w:multiLevelType w:val="hybridMultilevel"/>
    <w:tmpl w:val="C2AE22EA"/>
    <w:lvl w:ilvl="0" w:tplc="04090013">
      <w:start w:val="1"/>
      <w:numFmt w:val="chineseCountingThousand"/>
      <w:lvlText w:val="%1、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0C0A1CCD"/>
    <w:multiLevelType w:val="hybridMultilevel"/>
    <w:tmpl w:val="39EEB7EE"/>
    <w:lvl w:ilvl="0" w:tplc="E2AC6EE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2BB476C"/>
    <w:multiLevelType w:val="hybridMultilevel"/>
    <w:tmpl w:val="A0D23A2C"/>
    <w:lvl w:ilvl="0" w:tplc="04090001">
      <w:start w:val="1"/>
      <w:numFmt w:val="bullet"/>
      <w:lvlText w:val=""/>
      <w:lvlJc w:val="left"/>
      <w:pPr>
        <w:ind w:left="17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20"/>
      </w:pPr>
      <w:rPr>
        <w:rFonts w:ascii="Wingdings" w:hAnsi="Wingdings" w:hint="default"/>
      </w:rPr>
    </w:lvl>
  </w:abstractNum>
  <w:abstractNum w:abstractNumId="5">
    <w:nsid w:val="58E929D0"/>
    <w:multiLevelType w:val="hybridMultilevel"/>
    <w:tmpl w:val="86142AEC"/>
    <w:lvl w:ilvl="0" w:tplc="64E2956A">
      <w:start w:val="1"/>
      <w:numFmt w:val="decimal"/>
      <w:lvlText w:val="%1、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6">
    <w:nsid w:val="5FAA4556"/>
    <w:multiLevelType w:val="hybridMultilevel"/>
    <w:tmpl w:val="8C5C3EB6"/>
    <w:lvl w:ilvl="0" w:tplc="6BE23012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EDE189B"/>
    <w:multiLevelType w:val="hybridMultilevel"/>
    <w:tmpl w:val="8C08B3C4"/>
    <w:lvl w:ilvl="0" w:tplc="8AB00EAE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76653F45"/>
    <w:multiLevelType w:val="hybridMultilevel"/>
    <w:tmpl w:val="E4949066"/>
    <w:lvl w:ilvl="0" w:tplc="8A1023BA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572"/>
    <w:rsid w:val="00011BA1"/>
    <w:rsid w:val="000149EE"/>
    <w:rsid w:val="00032078"/>
    <w:rsid w:val="00035C93"/>
    <w:rsid w:val="000406D4"/>
    <w:rsid w:val="000408D1"/>
    <w:rsid w:val="00041EFE"/>
    <w:rsid w:val="000609C1"/>
    <w:rsid w:val="00064F84"/>
    <w:rsid w:val="00067F02"/>
    <w:rsid w:val="00076834"/>
    <w:rsid w:val="00082BA0"/>
    <w:rsid w:val="0008679B"/>
    <w:rsid w:val="00086E81"/>
    <w:rsid w:val="00087B9D"/>
    <w:rsid w:val="000900CF"/>
    <w:rsid w:val="000926F9"/>
    <w:rsid w:val="000937F0"/>
    <w:rsid w:val="00095545"/>
    <w:rsid w:val="000A1230"/>
    <w:rsid w:val="000A71B1"/>
    <w:rsid w:val="000B63E0"/>
    <w:rsid w:val="000D1C97"/>
    <w:rsid w:val="000D31D7"/>
    <w:rsid w:val="000E5625"/>
    <w:rsid w:val="000E56FB"/>
    <w:rsid w:val="000F1811"/>
    <w:rsid w:val="000F4714"/>
    <w:rsid w:val="00103EF1"/>
    <w:rsid w:val="00105A1B"/>
    <w:rsid w:val="001204C3"/>
    <w:rsid w:val="00120A1B"/>
    <w:rsid w:val="00131F39"/>
    <w:rsid w:val="00141C41"/>
    <w:rsid w:val="0014251F"/>
    <w:rsid w:val="00144C06"/>
    <w:rsid w:val="00145A18"/>
    <w:rsid w:val="00145ABB"/>
    <w:rsid w:val="00154BC4"/>
    <w:rsid w:val="001635CE"/>
    <w:rsid w:val="00167F52"/>
    <w:rsid w:val="00172A27"/>
    <w:rsid w:val="00174002"/>
    <w:rsid w:val="001752E7"/>
    <w:rsid w:val="00185250"/>
    <w:rsid w:val="0019278C"/>
    <w:rsid w:val="00193796"/>
    <w:rsid w:val="00194D4D"/>
    <w:rsid w:val="001A3AC2"/>
    <w:rsid w:val="001C3921"/>
    <w:rsid w:val="001D1F2C"/>
    <w:rsid w:val="001D6675"/>
    <w:rsid w:val="001E5865"/>
    <w:rsid w:val="001E77AA"/>
    <w:rsid w:val="001F5F45"/>
    <w:rsid w:val="001F7D4A"/>
    <w:rsid w:val="00204B88"/>
    <w:rsid w:val="0022685F"/>
    <w:rsid w:val="00232E25"/>
    <w:rsid w:val="00242DC1"/>
    <w:rsid w:val="00245213"/>
    <w:rsid w:val="0025108C"/>
    <w:rsid w:val="00254DDB"/>
    <w:rsid w:val="00276A6C"/>
    <w:rsid w:val="00280DFC"/>
    <w:rsid w:val="00283A3D"/>
    <w:rsid w:val="0029627C"/>
    <w:rsid w:val="002A4376"/>
    <w:rsid w:val="002B11DF"/>
    <w:rsid w:val="002B6715"/>
    <w:rsid w:val="002C5E48"/>
    <w:rsid w:val="002F0515"/>
    <w:rsid w:val="002F303F"/>
    <w:rsid w:val="002F707A"/>
    <w:rsid w:val="00301C40"/>
    <w:rsid w:val="00305037"/>
    <w:rsid w:val="00307B15"/>
    <w:rsid w:val="00313FAD"/>
    <w:rsid w:val="003170D3"/>
    <w:rsid w:val="003239E3"/>
    <w:rsid w:val="003333D0"/>
    <w:rsid w:val="003365EF"/>
    <w:rsid w:val="00340121"/>
    <w:rsid w:val="00342193"/>
    <w:rsid w:val="00345007"/>
    <w:rsid w:val="003627AE"/>
    <w:rsid w:val="00363B7E"/>
    <w:rsid w:val="003717B9"/>
    <w:rsid w:val="0037633F"/>
    <w:rsid w:val="00393005"/>
    <w:rsid w:val="00393E9B"/>
    <w:rsid w:val="003976FC"/>
    <w:rsid w:val="003A2A52"/>
    <w:rsid w:val="003A72BF"/>
    <w:rsid w:val="003A74F7"/>
    <w:rsid w:val="003C7EC0"/>
    <w:rsid w:val="003D37E5"/>
    <w:rsid w:val="003F2581"/>
    <w:rsid w:val="00417A6D"/>
    <w:rsid w:val="00423915"/>
    <w:rsid w:val="004253C7"/>
    <w:rsid w:val="004344E7"/>
    <w:rsid w:val="004500F0"/>
    <w:rsid w:val="0046281D"/>
    <w:rsid w:val="00464873"/>
    <w:rsid w:val="00467784"/>
    <w:rsid w:val="0048264E"/>
    <w:rsid w:val="0048556C"/>
    <w:rsid w:val="004A18EB"/>
    <w:rsid w:val="004B295F"/>
    <w:rsid w:val="004C14AA"/>
    <w:rsid w:val="004C71B0"/>
    <w:rsid w:val="004E0308"/>
    <w:rsid w:val="004E6829"/>
    <w:rsid w:val="004F0D71"/>
    <w:rsid w:val="004F2FEE"/>
    <w:rsid w:val="004F5B05"/>
    <w:rsid w:val="00514005"/>
    <w:rsid w:val="0051487A"/>
    <w:rsid w:val="005166CF"/>
    <w:rsid w:val="00516AE9"/>
    <w:rsid w:val="00520C60"/>
    <w:rsid w:val="005224E8"/>
    <w:rsid w:val="00527141"/>
    <w:rsid w:val="00532BC4"/>
    <w:rsid w:val="0053343B"/>
    <w:rsid w:val="0053595B"/>
    <w:rsid w:val="00547ADD"/>
    <w:rsid w:val="00555158"/>
    <w:rsid w:val="0056179B"/>
    <w:rsid w:val="00564DFE"/>
    <w:rsid w:val="005769AE"/>
    <w:rsid w:val="00587310"/>
    <w:rsid w:val="00594270"/>
    <w:rsid w:val="00595E33"/>
    <w:rsid w:val="005966D8"/>
    <w:rsid w:val="005C225F"/>
    <w:rsid w:val="005C2A8A"/>
    <w:rsid w:val="005C7E4B"/>
    <w:rsid w:val="005E4544"/>
    <w:rsid w:val="005E6E4E"/>
    <w:rsid w:val="005E7A42"/>
    <w:rsid w:val="005F2B50"/>
    <w:rsid w:val="00601AD8"/>
    <w:rsid w:val="006029B1"/>
    <w:rsid w:val="006115CF"/>
    <w:rsid w:val="006126F0"/>
    <w:rsid w:val="0062046B"/>
    <w:rsid w:val="00646578"/>
    <w:rsid w:val="006523DC"/>
    <w:rsid w:val="0065556D"/>
    <w:rsid w:val="00682365"/>
    <w:rsid w:val="0068617D"/>
    <w:rsid w:val="006926B4"/>
    <w:rsid w:val="00696150"/>
    <w:rsid w:val="006A7E93"/>
    <w:rsid w:val="006B67E0"/>
    <w:rsid w:val="006C3A2D"/>
    <w:rsid w:val="006C5600"/>
    <w:rsid w:val="006E4B28"/>
    <w:rsid w:val="006E4F28"/>
    <w:rsid w:val="006F343D"/>
    <w:rsid w:val="006F64D9"/>
    <w:rsid w:val="00704EAE"/>
    <w:rsid w:val="007133D3"/>
    <w:rsid w:val="00715FEB"/>
    <w:rsid w:val="00717253"/>
    <w:rsid w:val="00724C17"/>
    <w:rsid w:val="0072574D"/>
    <w:rsid w:val="00726994"/>
    <w:rsid w:val="00732600"/>
    <w:rsid w:val="00737397"/>
    <w:rsid w:val="007373A0"/>
    <w:rsid w:val="0074171F"/>
    <w:rsid w:val="007514FC"/>
    <w:rsid w:val="00753027"/>
    <w:rsid w:val="00756373"/>
    <w:rsid w:val="00765BC8"/>
    <w:rsid w:val="0078358A"/>
    <w:rsid w:val="00794B65"/>
    <w:rsid w:val="0079765F"/>
    <w:rsid w:val="007A2264"/>
    <w:rsid w:val="007A46A2"/>
    <w:rsid w:val="007B059F"/>
    <w:rsid w:val="007C2EE6"/>
    <w:rsid w:val="007C4248"/>
    <w:rsid w:val="007E149B"/>
    <w:rsid w:val="007E65DA"/>
    <w:rsid w:val="007F4AA1"/>
    <w:rsid w:val="007F680E"/>
    <w:rsid w:val="007F731E"/>
    <w:rsid w:val="008055E3"/>
    <w:rsid w:val="00814E76"/>
    <w:rsid w:val="00826F5B"/>
    <w:rsid w:val="00837BCF"/>
    <w:rsid w:val="0084543C"/>
    <w:rsid w:val="00851D6F"/>
    <w:rsid w:val="00864060"/>
    <w:rsid w:val="00865548"/>
    <w:rsid w:val="00877B00"/>
    <w:rsid w:val="00880B78"/>
    <w:rsid w:val="00891A18"/>
    <w:rsid w:val="00897C96"/>
    <w:rsid w:val="008A2150"/>
    <w:rsid w:val="008A463E"/>
    <w:rsid w:val="008D5F73"/>
    <w:rsid w:val="008D6480"/>
    <w:rsid w:val="008F31F6"/>
    <w:rsid w:val="00900479"/>
    <w:rsid w:val="00901E1F"/>
    <w:rsid w:val="00901EC4"/>
    <w:rsid w:val="0090239C"/>
    <w:rsid w:val="00902BD8"/>
    <w:rsid w:val="00903F83"/>
    <w:rsid w:val="00905F54"/>
    <w:rsid w:val="009106B5"/>
    <w:rsid w:val="00910979"/>
    <w:rsid w:val="00912DB1"/>
    <w:rsid w:val="009268D8"/>
    <w:rsid w:val="009344E8"/>
    <w:rsid w:val="009359C0"/>
    <w:rsid w:val="009368E5"/>
    <w:rsid w:val="00940444"/>
    <w:rsid w:val="009449E7"/>
    <w:rsid w:val="00953BB3"/>
    <w:rsid w:val="00985411"/>
    <w:rsid w:val="009A5DE9"/>
    <w:rsid w:val="009C18E8"/>
    <w:rsid w:val="009C7770"/>
    <w:rsid w:val="009E0FC0"/>
    <w:rsid w:val="009E3655"/>
    <w:rsid w:val="009E39B1"/>
    <w:rsid w:val="009E6183"/>
    <w:rsid w:val="009F08DF"/>
    <w:rsid w:val="009F26E1"/>
    <w:rsid w:val="009F340F"/>
    <w:rsid w:val="009F4379"/>
    <w:rsid w:val="009F637C"/>
    <w:rsid w:val="009F7B41"/>
    <w:rsid w:val="00A21A4F"/>
    <w:rsid w:val="00A366CB"/>
    <w:rsid w:val="00A51769"/>
    <w:rsid w:val="00A54E31"/>
    <w:rsid w:val="00A57FD9"/>
    <w:rsid w:val="00A67203"/>
    <w:rsid w:val="00A71C04"/>
    <w:rsid w:val="00A828A6"/>
    <w:rsid w:val="00A87C7A"/>
    <w:rsid w:val="00A924C0"/>
    <w:rsid w:val="00AB003D"/>
    <w:rsid w:val="00AC5EF8"/>
    <w:rsid w:val="00AD0374"/>
    <w:rsid w:val="00AD665B"/>
    <w:rsid w:val="00AE1961"/>
    <w:rsid w:val="00AE2A03"/>
    <w:rsid w:val="00AE7DC0"/>
    <w:rsid w:val="00AF032E"/>
    <w:rsid w:val="00B00DAD"/>
    <w:rsid w:val="00B41A63"/>
    <w:rsid w:val="00B457D0"/>
    <w:rsid w:val="00B56C48"/>
    <w:rsid w:val="00B66BA5"/>
    <w:rsid w:val="00B75FA1"/>
    <w:rsid w:val="00B86792"/>
    <w:rsid w:val="00BA0A18"/>
    <w:rsid w:val="00BA2BD1"/>
    <w:rsid w:val="00BB79C2"/>
    <w:rsid w:val="00BC056C"/>
    <w:rsid w:val="00BD325C"/>
    <w:rsid w:val="00BE58B9"/>
    <w:rsid w:val="00BE653D"/>
    <w:rsid w:val="00BE7D26"/>
    <w:rsid w:val="00BF0403"/>
    <w:rsid w:val="00BF14B6"/>
    <w:rsid w:val="00C20C5E"/>
    <w:rsid w:val="00C306AD"/>
    <w:rsid w:val="00C34B15"/>
    <w:rsid w:val="00C375F7"/>
    <w:rsid w:val="00C56FD7"/>
    <w:rsid w:val="00C720D0"/>
    <w:rsid w:val="00C76836"/>
    <w:rsid w:val="00CA7EA6"/>
    <w:rsid w:val="00CB0A94"/>
    <w:rsid w:val="00CD1D6E"/>
    <w:rsid w:val="00CE4E8D"/>
    <w:rsid w:val="00CE5832"/>
    <w:rsid w:val="00CF6D6C"/>
    <w:rsid w:val="00D167A1"/>
    <w:rsid w:val="00D1680E"/>
    <w:rsid w:val="00D35A8F"/>
    <w:rsid w:val="00D430A6"/>
    <w:rsid w:val="00D55091"/>
    <w:rsid w:val="00D56E14"/>
    <w:rsid w:val="00D66151"/>
    <w:rsid w:val="00D8301A"/>
    <w:rsid w:val="00D8501A"/>
    <w:rsid w:val="00D9179C"/>
    <w:rsid w:val="00D92A67"/>
    <w:rsid w:val="00DA731E"/>
    <w:rsid w:val="00DB0213"/>
    <w:rsid w:val="00DB2C5C"/>
    <w:rsid w:val="00DB6376"/>
    <w:rsid w:val="00DB71A9"/>
    <w:rsid w:val="00DC6450"/>
    <w:rsid w:val="00DD3E09"/>
    <w:rsid w:val="00DF41F3"/>
    <w:rsid w:val="00DF7A05"/>
    <w:rsid w:val="00E01435"/>
    <w:rsid w:val="00E13E04"/>
    <w:rsid w:val="00E15C44"/>
    <w:rsid w:val="00E23C95"/>
    <w:rsid w:val="00E4224A"/>
    <w:rsid w:val="00E44DB1"/>
    <w:rsid w:val="00E60538"/>
    <w:rsid w:val="00E72C9B"/>
    <w:rsid w:val="00E916FE"/>
    <w:rsid w:val="00EC2D0D"/>
    <w:rsid w:val="00EC5CAA"/>
    <w:rsid w:val="00ED08A3"/>
    <w:rsid w:val="00ED3FA2"/>
    <w:rsid w:val="00EE0698"/>
    <w:rsid w:val="00F065E4"/>
    <w:rsid w:val="00F14016"/>
    <w:rsid w:val="00F1428B"/>
    <w:rsid w:val="00F26B3F"/>
    <w:rsid w:val="00F43B55"/>
    <w:rsid w:val="00F45CCB"/>
    <w:rsid w:val="00F47493"/>
    <w:rsid w:val="00F65360"/>
    <w:rsid w:val="00F66D88"/>
    <w:rsid w:val="00F67E11"/>
    <w:rsid w:val="00F814E1"/>
    <w:rsid w:val="00F97C45"/>
    <w:rsid w:val="00FB3A12"/>
    <w:rsid w:val="00FC2856"/>
    <w:rsid w:val="00FD7726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7D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617D"/>
    <w:rPr>
      <w:rFonts w:cs="Times New Roman"/>
      <w:color w:val="0000FF"/>
      <w:u w:val="none"/>
    </w:rPr>
  </w:style>
  <w:style w:type="paragraph" w:customStyle="1" w:styleId="CharCharCharCharChar1Char">
    <w:name w:val="Char Char Char Char Char1 Char"/>
    <w:basedOn w:val="Normal"/>
    <w:uiPriority w:val="99"/>
    <w:rsid w:val="0068617D"/>
  </w:style>
  <w:style w:type="paragraph" w:styleId="BalloonText">
    <w:name w:val="Balloon Text"/>
    <w:basedOn w:val="Normal"/>
    <w:link w:val="BalloonTextChar"/>
    <w:uiPriority w:val="99"/>
    <w:rsid w:val="0068617D"/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59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68617D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F59"/>
    <w:rPr>
      <w:szCs w:val="20"/>
    </w:rPr>
  </w:style>
  <w:style w:type="paragraph" w:customStyle="1" w:styleId="Char">
    <w:name w:val="Char"/>
    <w:basedOn w:val="Normal"/>
    <w:uiPriority w:val="99"/>
    <w:rsid w:val="00F67E11"/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5166CF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5166C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F5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F59"/>
    <w:rPr>
      <w:b/>
      <w:bCs/>
    </w:rPr>
  </w:style>
  <w:style w:type="paragraph" w:styleId="Header">
    <w:name w:val="header"/>
    <w:basedOn w:val="Normal"/>
    <w:link w:val="HeaderChar"/>
    <w:uiPriority w:val="99"/>
    <w:rsid w:val="00154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4BC4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54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4BC4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154B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Revision">
    <w:name w:val="Revision"/>
    <w:hidden/>
    <w:uiPriority w:val="99"/>
    <w:semiHidden/>
    <w:rsid w:val="00DB0213"/>
    <w:rPr>
      <w:szCs w:val="20"/>
    </w:rPr>
  </w:style>
  <w:style w:type="paragraph" w:styleId="ListParagraph">
    <w:name w:val="List Paragraph"/>
    <w:basedOn w:val="Normal"/>
    <w:uiPriority w:val="99"/>
    <w:qFormat/>
    <w:rsid w:val="00880B78"/>
    <w:pPr>
      <w:ind w:firstLineChars="200" w:firstLine="420"/>
    </w:pPr>
  </w:style>
  <w:style w:type="character" w:styleId="HTMLTypewriter">
    <w:name w:val="HTML Typewriter"/>
    <w:basedOn w:val="DefaultParagraphFont"/>
    <w:uiPriority w:val="99"/>
    <w:rsid w:val="00C375F7"/>
    <w:rPr>
      <w:rFonts w:ascii="宋体" w:eastAsia="宋体" w:hAnsi="宋体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dian-ban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funds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242</Words>
  <Characters>1383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南方基金管理有限公司增加华龙证券股份有限公司</dc:title>
  <dc:subject/>
  <dc:creator>User</dc:creator>
  <cp:keywords/>
  <dc:description/>
  <cp:lastModifiedBy>admin</cp:lastModifiedBy>
  <cp:revision>65</cp:revision>
  <cp:lastPrinted>2012-08-08T03:25:00Z</cp:lastPrinted>
  <dcterms:created xsi:type="dcterms:W3CDTF">2013-07-11T03:20:00Z</dcterms:created>
  <dcterms:modified xsi:type="dcterms:W3CDTF">2015-03-02T03:27:00Z</dcterms:modified>
</cp:coreProperties>
</file>