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77" w:rsidRDefault="00F66177" w:rsidP="00F66177">
      <w:pPr>
        <w:widowControl/>
        <w:spacing w:line="600" w:lineRule="atLeast"/>
        <w:jc w:val="center"/>
        <w:outlineLvl w:val="1"/>
        <w:rPr>
          <w:rFonts w:ascii="微软雅黑" w:eastAsia="微软雅黑" w:hAnsi="微软雅黑" w:cs="宋体" w:hint="eastAsia"/>
          <w:b/>
          <w:bCs/>
          <w:color w:val="333333"/>
          <w:kern w:val="0"/>
          <w:sz w:val="33"/>
          <w:szCs w:val="33"/>
        </w:rPr>
      </w:pPr>
      <w:r w:rsidRPr="00F66177">
        <w:rPr>
          <w:rFonts w:ascii="微软雅黑" w:eastAsia="微软雅黑" w:hAnsi="微软雅黑" w:cs="宋体" w:hint="eastAsia"/>
          <w:b/>
          <w:bCs/>
          <w:color w:val="333333"/>
          <w:kern w:val="0"/>
          <w:sz w:val="33"/>
          <w:szCs w:val="33"/>
        </w:rPr>
        <w:t>关于广发大盘成长混合型证券投资基金暂停机构投资者大额申购业务的公告</w:t>
      </w:r>
    </w:p>
    <w:p w:rsidR="00F66177" w:rsidRDefault="00F66177" w:rsidP="00F66177">
      <w:pPr>
        <w:widowControl/>
        <w:spacing w:line="600" w:lineRule="atLeast"/>
        <w:jc w:val="center"/>
        <w:outlineLvl w:val="1"/>
        <w:rPr>
          <w:rFonts w:ascii="微软雅黑" w:eastAsia="微软雅黑" w:hAnsi="微软雅黑" w:cs="宋体" w:hint="eastAsia"/>
          <w:b/>
          <w:bCs/>
          <w:color w:val="333333"/>
          <w:kern w:val="0"/>
          <w:sz w:val="33"/>
          <w:szCs w:val="33"/>
        </w:rPr>
      </w:pPr>
    </w:p>
    <w:p w:rsidR="00F66177" w:rsidRPr="00F66177" w:rsidRDefault="00F66177" w:rsidP="00F66177">
      <w:pPr>
        <w:widowControl/>
        <w:shd w:val="clear" w:color="auto" w:fill="FFFFFF"/>
        <w:spacing w:before="150" w:after="150" w:line="540" w:lineRule="atLeast"/>
        <w:jc w:val="left"/>
        <w:rPr>
          <w:rFonts w:ascii="微软雅黑" w:eastAsia="微软雅黑" w:hAnsi="微软雅黑" w:cs="宋体"/>
          <w:color w:val="4D4D4D"/>
          <w:kern w:val="0"/>
          <w:sz w:val="24"/>
          <w:szCs w:val="24"/>
        </w:rPr>
      </w:pPr>
      <w:r w:rsidRPr="00F66177">
        <w:rPr>
          <w:rFonts w:ascii="微软雅黑" w:eastAsia="微软雅黑" w:hAnsi="微软雅黑" w:cs="宋体" w:hint="eastAsia"/>
          <w:color w:val="4D4D4D"/>
          <w:kern w:val="0"/>
          <w:sz w:val="24"/>
          <w:szCs w:val="24"/>
        </w:rPr>
        <w:t xml:space="preserve">　1、公告基本信息</w:t>
      </w:r>
    </w:p>
    <w:tbl>
      <w:tblPr>
        <w:tblW w:w="14355" w:type="dxa"/>
        <w:tblInd w:w="-1800" w:type="dxa"/>
        <w:shd w:val="clear" w:color="auto" w:fill="FFFFFF"/>
        <w:tblCellMar>
          <w:left w:w="0" w:type="dxa"/>
          <w:right w:w="0" w:type="dxa"/>
        </w:tblCellMar>
        <w:tblLook w:val="04A0" w:firstRow="1" w:lastRow="0" w:firstColumn="1" w:lastColumn="0" w:noHBand="0" w:noVBand="1"/>
      </w:tblPr>
      <w:tblGrid>
        <w:gridCol w:w="3776"/>
        <w:gridCol w:w="4216"/>
        <w:gridCol w:w="6363"/>
      </w:tblGrid>
      <w:tr w:rsidR="00F66177" w:rsidRPr="00F66177" w:rsidTr="00F66177">
        <w:tc>
          <w:tcPr>
            <w:tcW w:w="3776" w:type="dxa"/>
            <w:tcBorders>
              <w:top w:val="single" w:sz="8" w:space="0" w:color="auto"/>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基金名称</w:t>
            </w:r>
          </w:p>
        </w:tc>
        <w:tc>
          <w:tcPr>
            <w:tcW w:w="10579" w:type="dxa"/>
            <w:gridSpan w:val="2"/>
            <w:tcBorders>
              <w:top w:val="single" w:sz="8" w:space="0" w:color="auto"/>
              <w:left w:val="nil"/>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广发大盘成长混合型证券投资基金 </w:t>
            </w:r>
          </w:p>
        </w:tc>
      </w:tr>
      <w:tr w:rsidR="00F66177" w:rsidRPr="00F66177" w:rsidTr="00F66177">
        <w:tc>
          <w:tcPr>
            <w:tcW w:w="3776"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基金简称</w:t>
            </w:r>
          </w:p>
        </w:tc>
        <w:tc>
          <w:tcPr>
            <w:tcW w:w="10579" w:type="dxa"/>
            <w:gridSpan w:val="2"/>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广发大盘成长混合</w:t>
            </w:r>
          </w:p>
        </w:tc>
      </w:tr>
      <w:tr w:rsidR="00F66177" w:rsidRPr="00F66177" w:rsidTr="00F66177">
        <w:tc>
          <w:tcPr>
            <w:tcW w:w="3776"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基金主代码</w:t>
            </w:r>
          </w:p>
        </w:tc>
        <w:tc>
          <w:tcPr>
            <w:tcW w:w="10579" w:type="dxa"/>
            <w:gridSpan w:val="2"/>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bookmarkStart w:id="0" w:name="_GoBack"/>
            <w:r w:rsidRPr="00F66177">
              <w:rPr>
                <w:rFonts w:ascii="微软雅黑" w:eastAsia="微软雅黑" w:hAnsi="微软雅黑" w:cs="宋体" w:hint="eastAsia"/>
                <w:color w:val="4D4D4D"/>
                <w:kern w:val="0"/>
                <w:szCs w:val="21"/>
              </w:rPr>
              <w:t>270007</w:t>
            </w:r>
            <w:bookmarkEnd w:id="0"/>
          </w:p>
        </w:tc>
      </w:tr>
      <w:tr w:rsidR="00F66177" w:rsidRPr="00F66177" w:rsidTr="00F66177">
        <w:tc>
          <w:tcPr>
            <w:tcW w:w="3776"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基金管理人名称</w:t>
            </w:r>
          </w:p>
        </w:tc>
        <w:tc>
          <w:tcPr>
            <w:tcW w:w="10579" w:type="dxa"/>
            <w:gridSpan w:val="2"/>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广发基金管理有限公司</w:t>
            </w:r>
          </w:p>
        </w:tc>
      </w:tr>
      <w:tr w:rsidR="00F66177" w:rsidRPr="00F66177" w:rsidTr="00F66177">
        <w:tc>
          <w:tcPr>
            <w:tcW w:w="3776"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公告依据</w:t>
            </w:r>
          </w:p>
        </w:tc>
        <w:tc>
          <w:tcPr>
            <w:tcW w:w="10579" w:type="dxa"/>
            <w:gridSpan w:val="2"/>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《广发大盘成长混合型证券投资基金基金合同》</w:t>
            </w:r>
          </w:p>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《广发大盘成长混合型证券投资基金招募说明书》</w:t>
            </w:r>
          </w:p>
        </w:tc>
      </w:tr>
      <w:tr w:rsidR="00F66177" w:rsidRPr="00F66177" w:rsidTr="00F66177">
        <w:trPr>
          <w:trHeight w:val="423"/>
        </w:trPr>
        <w:tc>
          <w:tcPr>
            <w:tcW w:w="3776" w:type="dxa"/>
            <w:vMerge w:val="restart"/>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暂停相关业务的起始日、金额及原因说明</w:t>
            </w:r>
          </w:p>
        </w:tc>
        <w:tc>
          <w:tcPr>
            <w:tcW w:w="421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暂停机构投资者大额申购起始日</w:t>
            </w:r>
          </w:p>
        </w:tc>
        <w:tc>
          <w:tcPr>
            <w:tcW w:w="6363"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2019年8月19日</w:t>
            </w:r>
          </w:p>
        </w:tc>
      </w:tr>
      <w:tr w:rsidR="00F66177" w:rsidRPr="00F66177" w:rsidTr="00F66177">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66177" w:rsidRPr="00F66177" w:rsidRDefault="00F66177" w:rsidP="00F66177">
            <w:pPr>
              <w:widowControl/>
              <w:jc w:val="left"/>
              <w:rPr>
                <w:rFonts w:ascii="微软雅黑" w:eastAsia="微软雅黑" w:hAnsi="微软雅黑" w:cs="宋体"/>
                <w:color w:val="4D4D4D"/>
                <w:kern w:val="0"/>
                <w:szCs w:val="21"/>
              </w:rPr>
            </w:pPr>
          </w:p>
        </w:tc>
        <w:tc>
          <w:tcPr>
            <w:tcW w:w="421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暂停机构投资者大额定期定额和不定额投资起始日 </w:t>
            </w:r>
          </w:p>
        </w:tc>
        <w:tc>
          <w:tcPr>
            <w:tcW w:w="6363"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2019年8月19日</w:t>
            </w:r>
          </w:p>
        </w:tc>
      </w:tr>
      <w:tr w:rsidR="00F66177" w:rsidRPr="00F66177" w:rsidTr="00F66177">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66177" w:rsidRPr="00F66177" w:rsidRDefault="00F66177" w:rsidP="00F66177">
            <w:pPr>
              <w:widowControl/>
              <w:jc w:val="left"/>
              <w:rPr>
                <w:rFonts w:ascii="微软雅黑" w:eastAsia="微软雅黑" w:hAnsi="微软雅黑" w:cs="宋体"/>
                <w:color w:val="4D4D4D"/>
                <w:kern w:val="0"/>
                <w:szCs w:val="21"/>
              </w:rPr>
            </w:pPr>
          </w:p>
        </w:tc>
        <w:tc>
          <w:tcPr>
            <w:tcW w:w="421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暂停机构投资者大额转换转入起始日 </w:t>
            </w:r>
          </w:p>
        </w:tc>
        <w:tc>
          <w:tcPr>
            <w:tcW w:w="6363"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2019年8月19日</w:t>
            </w:r>
          </w:p>
        </w:tc>
      </w:tr>
      <w:tr w:rsidR="00F66177" w:rsidRPr="00F66177" w:rsidTr="00F66177">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66177" w:rsidRPr="00F66177" w:rsidRDefault="00F66177" w:rsidP="00F66177">
            <w:pPr>
              <w:widowControl/>
              <w:jc w:val="left"/>
              <w:rPr>
                <w:rFonts w:ascii="微软雅黑" w:eastAsia="微软雅黑" w:hAnsi="微软雅黑" w:cs="宋体"/>
                <w:color w:val="4D4D4D"/>
                <w:kern w:val="0"/>
                <w:szCs w:val="21"/>
              </w:rPr>
            </w:pPr>
          </w:p>
        </w:tc>
        <w:tc>
          <w:tcPr>
            <w:tcW w:w="421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限制机构投资者申购金额（单位：元） </w:t>
            </w:r>
          </w:p>
        </w:tc>
        <w:tc>
          <w:tcPr>
            <w:tcW w:w="6363"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100,000</w:t>
            </w:r>
          </w:p>
        </w:tc>
      </w:tr>
      <w:tr w:rsidR="00F66177" w:rsidRPr="00F66177" w:rsidTr="00F66177">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66177" w:rsidRPr="00F66177" w:rsidRDefault="00F66177" w:rsidP="00F66177">
            <w:pPr>
              <w:widowControl/>
              <w:jc w:val="left"/>
              <w:rPr>
                <w:rFonts w:ascii="微软雅黑" w:eastAsia="微软雅黑" w:hAnsi="微软雅黑" w:cs="宋体"/>
                <w:color w:val="4D4D4D"/>
                <w:kern w:val="0"/>
                <w:szCs w:val="21"/>
              </w:rPr>
            </w:pPr>
          </w:p>
        </w:tc>
        <w:tc>
          <w:tcPr>
            <w:tcW w:w="421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限制机构投资者转换转入金额（单位：元）</w:t>
            </w:r>
          </w:p>
        </w:tc>
        <w:tc>
          <w:tcPr>
            <w:tcW w:w="6363"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100,000</w:t>
            </w:r>
          </w:p>
        </w:tc>
      </w:tr>
      <w:tr w:rsidR="00F66177" w:rsidRPr="00F66177" w:rsidTr="00F66177">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66177" w:rsidRPr="00F66177" w:rsidRDefault="00F66177" w:rsidP="00F66177">
            <w:pPr>
              <w:widowControl/>
              <w:jc w:val="left"/>
              <w:rPr>
                <w:rFonts w:ascii="微软雅黑" w:eastAsia="微软雅黑" w:hAnsi="微软雅黑" w:cs="宋体"/>
                <w:color w:val="4D4D4D"/>
                <w:kern w:val="0"/>
                <w:szCs w:val="21"/>
              </w:rPr>
            </w:pPr>
          </w:p>
        </w:tc>
        <w:tc>
          <w:tcPr>
            <w:tcW w:w="421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暂停机构投资者大额申购（转换转入、定期定额和不定额投资）的原因说明</w:t>
            </w:r>
          </w:p>
        </w:tc>
        <w:tc>
          <w:tcPr>
            <w:tcW w:w="6363" w:type="dxa"/>
            <w:tcBorders>
              <w:top w:val="nil"/>
              <w:left w:val="nil"/>
              <w:bottom w:val="single" w:sz="8" w:space="0" w:color="auto"/>
              <w:right w:val="single" w:sz="8" w:space="0" w:color="auto"/>
            </w:tcBorders>
            <w:shd w:val="clear" w:color="auto" w:fill="FFFFFF"/>
            <w:tcMar>
              <w:top w:w="60" w:type="dxa"/>
              <w:left w:w="60" w:type="dxa"/>
              <w:bottom w:w="60" w:type="dxa"/>
              <w:right w:w="60" w:type="dxa"/>
            </w:tcMar>
            <w:hideMark/>
          </w:tcPr>
          <w:p w:rsidR="00F66177" w:rsidRPr="00F66177" w:rsidRDefault="00F66177" w:rsidP="00F66177">
            <w:pPr>
              <w:widowControl/>
              <w:spacing w:line="540" w:lineRule="atLeast"/>
              <w:jc w:val="center"/>
              <w:rPr>
                <w:rFonts w:ascii="微软雅黑" w:eastAsia="微软雅黑" w:hAnsi="微软雅黑" w:cs="宋体"/>
                <w:color w:val="4D4D4D"/>
                <w:kern w:val="0"/>
                <w:szCs w:val="21"/>
              </w:rPr>
            </w:pPr>
            <w:r w:rsidRPr="00F66177">
              <w:rPr>
                <w:rFonts w:ascii="微软雅黑" w:eastAsia="微软雅黑" w:hAnsi="微软雅黑" w:cs="宋体" w:hint="eastAsia"/>
                <w:color w:val="4D4D4D"/>
                <w:kern w:val="0"/>
                <w:szCs w:val="21"/>
              </w:rPr>
              <w:t>保护现有基金份额持有人利益</w:t>
            </w:r>
          </w:p>
        </w:tc>
      </w:tr>
    </w:tbl>
    <w:p w:rsidR="00F66177" w:rsidRPr="00F66177" w:rsidRDefault="00F66177" w:rsidP="00F66177">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F66177">
        <w:rPr>
          <w:rFonts w:ascii="微软雅黑" w:eastAsia="微软雅黑" w:hAnsi="微软雅黑" w:cs="宋体" w:hint="eastAsia"/>
          <w:color w:val="4D4D4D"/>
          <w:kern w:val="0"/>
          <w:sz w:val="24"/>
          <w:szCs w:val="24"/>
        </w:rPr>
        <w:t xml:space="preserve">　　2、其他需要提示的事项</w:t>
      </w:r>
    </w:p>
    <w:p w:rsidR="00F66177" w:rsidRPr="00F66177" w:rsidRDefault="00F66177" w:rsidP="00F66177">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F66177">
        <w:rPr>
          <w:rFonts w:ascii="微软雅黑" w:eastAsia="微软雅黑" w:hAnsi="微软雅黑" w:cs="宋体" w:hint="eastAsia"/>
          <w:color w:val="4D4D4D"/>
          <w:kern w:val="0"/>
          <w:sz w:val="24"/>
          <w:szCs w:val="24"/>
        </w:rPr>
        <w:lastRenderedPageBreak/>
        <w:t xml:space="preserve">　　本公司决定自2019年8月19日起，将本基金调整为暂停机构投资者单日单账户通过申购（含定期定额和不定额投资业务）及转换转入合计超过100,000元（不含）的大额业务。如机构投资者单日单个基金账户合计申购（含定期定额和不定额投资业务）及转换转入本基金金额超过100,000元（不含），本基金注册登记人将有权确认失败。</w:t>
      </w:r>
    </w:p>
    <w:p w:rsidR="00F66177" w:rsidRPr="00F66177" w:rsidRDefault="00F66177" w:rsidP="00F66177">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F66177">
        <w:rPr>
          <w:rFonts w:ascii="微软雅黑" w:eastAsia="微软雅黑" w:hAnsi="微软雅黑" w:cs="宋体" w:hint="eastAsia"/>
          <w:color w:val="4D4D4D"/>
          <w:kern w:val="0"/>
          <w:sz w:val="24"/>
          <w:szCs w:val="24"/>
        </w:rPr>
        <w:t xml:space="preserve">　　在本基金暂停机构投资者大额申购（含定期定额和不定额投资业务）及转换转入业务期间，其它业务正常办理。本基金恢复办理大额申购（含定期定额和不定额投资业务）及转换转入业务的具体时间将另行公告。</w:t>
      </w:r>
    </w:p>
    <w:p w:rsidR="00F66177" w:rsidRPr="00F66177" w:rsidRDefault="00F66177" w:rsidP="00F66177">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F66177">
        <w:rPr>
          <w:rFonts w:ascii="微软雅黑" w:eastAsia="微软雅黑" w:hAnsi="微软雅黑" w:cs="宋体" w:hint="eastAsia"/>
          <w:color w:val="4D4D4D"/>
          <w:kern w:val="0"/>
          <w:sz w:val="24"/>
          <w:szCs w:val="24"/>
        </w:rPr>
        <w:t xml:space="preserve">　　如有疑问，请拨打本公司客户服务热线95105828（免长途费）或020-83936999，或登录本公司网站www.gffunds.com.cn获取相关信息。</w:t>
      </w:r>
    </w:p>
    <w:p w:rsidR="00F66177" w:rsidRPr="00F66177" w:rsidRDefault="00F66177" w:rsidP="00F66177">
      <w:pPr>
        <w:widowControl/>
        <w:shd w:val="clear" w:color="auto" w:fill="FFFFFF"/>
        <w:spacing w:before="150" w:after="150" w:line="540" w:lineRule="atLeast"/>
        <w:jc w:val="left"/>
        <w:rPr>
          <w:rFonts w:ascii="微软雅黑" w:eastAsia="微软雅黑" w:hAnsi="微软雅黑" w:cs="宋体" w:hint="eastAsia"/>
          <w:color w:val="4D4D4D"/>
          <w:kern w:val="0"/>
          <w:sz w:val="24"/>
          <w:szCs w:val="24"/>
        </w:rPr>
      </w:pPr>
      <w:r w:rsidRPr="00F66177">
        <w:rPr>
          <w:rFonts w:ascii="微软雅黑" w:eastAsia="微软雅黑" w:hAnsi="微软雅黑" w:cs="宋体" w:hint="eastAsia"/>
          <w:color w:val="4D4D4D"/>
          <w:kern w:val="0"/>
          <w:sz w:val="24"/>
          <w:szCs w:val="24"/>
        </w:rPr>
        <w:t xml:space="preserve">　　特此公告。</w:t>
      </w:r>
    </w:p>
    <w:p w:rsidR="00F66177" w:rsidRPr="00F66177" w:rsidRDefault="00F66177" w:rsidP="00F66177">
      <w:pPr>
        <w:widowControl/>
        <w:shd w:val="clear" w:color="auto" w:fill="FFFFFF"/>
        <w:spacing w:before="150" w:after="150" w:line="540" w:lineRule="atLeast"/>
        <w:jc w:val="right"/>
        <w:rPr>
          <w:rFonts w:ascii="微软雅黑" w:eastAsia="微软雅黑" w:hAnsi="微软雅黑" w:cs="宋体" w:hint="eastAsia"/>
          <w:color w:val="4D4D4D"/>
          <w:kern w:val="0"/>
          <w:sz w:val="24"/>
          <w:szCs w:val="24"/>
        </w:rPr>
      </w:pPr>
      <w:r w:rsidRPr="00F66177">
        <w:rPr>
          <w:rFonts w:ascii="微软雅黑" w:eastAsia="微软雅黑" w:hAnsi="微软雅黑" w:cs="宋体" w:hint="eastAsia"/>
          <w:color w:val="4D4D4D"/>
          <w:kern w:val="0"/>
          <w:sz w:val="24"/>
          <w:szCs w:val="24"/>
        </w:rPr>
        <w:t xml:space="preserve">　　广发基金管理有限公司</w:t>
      </w:r>
    </w:p>
    <w:p w:rsidR="00F66177" w:rsidRPr="00F66177" w:rsidRDefault="00F66177" w:rsidP="00F66177">
      <w:pPr>
        <w:widowControl/>
        <w:shd w:val="clear" w:color="auto" w:fill="FFFFFF"/>
        <w:spacing w:before="150" w:after="150" w:line="540" w:lineRule="atLeast"/>
        <w:jc w:val="right"/>
        <w:rPr>
          <w:rFonts w:ascii="微软雅黑" w:eastAsia="微软雅黑" w:hAnsi="微软雅黑" w:cs="宋体" w:hint="eastAsia"/>
          <w:color w:val="4D4D4D"/>
          <w:kern w:val="0"/>
          <w:sz w:val="24"/>
          <w:szCs w:val="24"/>
        </w:rPr>
      </w:pPr>
      <w:r w:rsidRPr="00F66177">
        <w:rPr>
          <w:rFonts w:ascii="微软雅黑" w:eastAsia="微软雅黑" w:hAnsi="微软雅黑" w:cs="宋体" w:hint="eastAsia"/>
          <w:color w:val="4D4D4D"/>
          <w:kern w:val="0"/>
          <w:sz w:val="24"/>
          <w:szCs w:val="24"/>
        </w:rPr>
        <w:t xml:space="preserve">　　2019年8月16日</w:t>
      </w:r>
    </w:p>
    <w:p w:rsidR="00F66177" w:rsidRPr="00F66177" w:rsidRDefault="00F66177" w:rsidP="00F66177">
      <w:pPr>
        <w:widowControl/>
        <w:spacing w:line="600" w:lineRule="atLeast"/>
        <w:jc w:val="center"/>
        <w:outlineLvl w:val="1"/>
        <w:rPr>
          <w:rFonts w:ascii="微软雅黑" w:eastAsia="微软雅黑" w:hAnsi="微软雅黑" w:cs="宋体"/>
          <w:b/>
          <w:bCs/>
          <w:color w:val="333333"/>
          <w:kern w:val="0"/>
          <w:sz w:val="33"/>
          <w:szCs w:val="33"/>
        </w:rPr>
      </w:pPr>
    </w:p>
    <w:p w:rsidR="0007176D" w:rsidRPr="00F66177" w:rsidRDefault="0007176D" w:rsidP="00F66177">
      <w:pPr>
        <w:jc w:val="center"/>
      </w:pPr>
    </w:p>
    <w:sectPr w:rsidR="0007176D" w:rsidRPr="00F661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C4"/>
    <w:rsid w:val="0007176D"/>
    <w:rsid w:val="00C92AC4"/>
    <w:rsid w:val="00F66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6617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66177"/>
    <w:rPr>
      <w:rFonts w:ascii="宋体" w:eastAsia="宋体" w:hAnsi="宋体" w:cs="宋体"/>
      <w:b/>
      <w:bCs/>
      <w:kern w:val="0"/>
      <w:sz w:val="36"/>
      <w:szCs w:val="36"/>
    </w:rPr>
  </w:style>
  <w:style w:type="paragraph" w:styleId="a3">
    <w:name w:val="Normal (Web)"/>
    <w:basedOn w:val="a"/>
    <w:uiPriority w:val="99"/>
    <w:semiHidden/>
    <w:unhideWhenUsed/>
    <w:rsid w:val="00F6617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6617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66177"/>
    <w:rPr>
      <w:rFonts w:ascii="宋体" w:eastAsia="宋体" w:hAnsi="宋体" w:cs="宋体"/>
      <w:b/>
      <w:bCs/>
      <w:kern w:val="0"/>
      <w:sz w:val="36"/>
      <w:szCs w:val="36"/>
    </w:rPr>
  </w:style>
  <w:style w:type="paragraph" w:styleId="a3">
    <w:name w:val="Normal (Web)"/>
    <w:basedOn w:val="a"/>
    <w:uiPriority w:val="99"/>
    <w:semiHidden/>
    <w:unhideWhenUsed/>
    <w:rsid w:val="00F661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65954">
      <w:bodyDiv w:val="1"/>
      <w:marLeft w:val="0"/>
      <w:marRight w:val="0"/>
      <w:marTop w:val="0"/>
      <w:marBottom w:val="0"/>
      <w:divBdr>
        <w:top w:val="none" w:sz="0" w:space="0" w:color="auto"/>
        <w:left w:val="none" w:sz="0" w:space="0" w:color="auto"/>
        <w:bottom w:val="none" w:sz="0" w:space="0" w:color="auto"/>
        <w:right w:val="none" w:sz="0" w:space="0" w:color="auto"/>
      </w:divBdr>
    </w:div>
    <w:div w:id="1101949245">
      <w:bodyDiv w:val="1"/>
      <w:marLeft w:val="0"/>
      <w:marRight w:val="0"/>
      <w:marTop w:val="0"/>
      <w:marBottom w:val="0"/>
      <w:divBdr>
        <w:top w:val="none" w:sz="0" w:space="0" w:color="auto"/>
        <w:left w:val="none" w:sz="0" w:space="0" w:color="auto"/>
        <w:bottom w:val="none" w:sz="0" w:space="0" w:color="auto"/>
        <w:right w:val="none" w:sz="0" w:space="0" w:color="auto"/>
      </w:divBdr>
    </w:div>
    <w:div w:id="1557206466">
      <w:bodyDiv w:val="1"/>
      <w:marLeft w:val="0"/>
      <w:marRight w:val="0"/>
      <w:marTop w:val="0"/>
      <w:marBottom w:val="0"/>
      <w:divBdr>
        <w:top w:val="none" w:sz="0" w:space="0" w:color="auto"/>
        <w:left w:val="none" w:sz="0" w:space="0" w:color="auto"/>
        <w:bottom w:val="none" w:sz="0" w:space="0" w:color="auto"/>
        <w:right w:val="none" w:sz="0" w:space="0" w:color="auto"/>
      </w:divBdr>
      <w:divsChild>
        <w:div w:id="2032878312">
          <w:marLeft w:val="0"/>
          <w:marRight w:val="0"/>
          <w:marTop w:val="150"/>
          <w:marBottom w:val="150"/>
          <w:divBdr>
            <w:top w:val="none" w:sz="0" w:space="0" w:color="auto"/>
            <w:left w:val="none" w:sz="0" w:space="0" w:color="auto"/>
            <w:bottom w:val="none" w:sz="0" w:space="0" w:color="auto"/>
            <w:right w:val="none" w:sz="0" w:space="0" w:color="auto"/>
          </w:divBdr>
          <w:divsChild>
            <w:div w:id="7654691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Office Word</Application>
  <DocSecurity>0</DocSecurity>
  <Lines>5</Lines>
  <Paragraphs>1</Paragraphs>
  <ScaleCrop>false</ScaleCrop>
  <Company>GLF</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2019-08-19T01:48:00Z</dcterms:created>
  <dcterms:modified xsi:type="dcterms:W3CDTF">2019-08-19T01:50:00Z</dcterms:modified>
</cp:coreProperties>
</file>