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0E" w:rsidRPr="003C4C0E" w:rsidRDefault="003C4C0E" w:rsidP="003C4C0E">
      <w:pPr>
        <w:widowControl/>
        <w:spacing w:before="100" w:beforeAutospacing="1" w:after="100" w:afterAutospacing="1"/>
        <w:jc w:val="left"/>
        <w:outlineLvl w:val="2"/>
        <w:rPr>
          <w:rFonts w:ascii="宋体" w:eastAsia="宋体" w:hAnsi="宋体" w:cs="宋体"/>
          <w:b/>
          <w:bCs/>
          <w:kern w:val="0"/>
          <w:sz w:val="32"/>
          <w:szCs w:val="27"/>
        </w:rPr>
      </w:pPr>
      <w:r w:rsidRPr="003C4C0E">
        <w:rPr>
          <w:rFonts w:ascii="宋体" w:eastAsia="宋体" w:hAnsi="宋体" w:cs="宋体"/>
          <w:b/>
          <w:bCs/>
          <w:kern w:val="0"/>
          <w:sz w:val="32"/>
          <w:szCs w:val="27"/>
        </w:rPr>
        <w:t>关于</w:t>
      </w:r>
      <w:proofErr w:type="gramStart"/>
      <w:r w:rsidRPr="003C4C0E">
        <w:rPr>
          <w:rFonts w:ascii="宋体" w:eastAsia="宋体" w:hAnsi="宋体" w:cs="宋体"/>
          <w:b/>
          <w:bCs/>
          <w:kern w:val="0"/>
          <w:sz w:val="32"/>
          <w:szCs w:val="27"/>
        </w:rPr>
        <w:t>汇添富盈泰</w:t>
      </w:r>
      <w:proofErr w:type="gramEnd"/>
      <w:r w:rsidRPr="003C4C0E">
        <w:rPr>
          <w:rFonts w:ascii="宋体" w:eastAsia="宋体" w:hAnsi="宋体" w:cs="宋体"/>
          <w:b/>
          <w:bCs/>
          <w:kern w:val="0"/>
          <w:sz w:val="32"/>
          <w:szCs w:val="27"/>
        </w:rPr>
        <w:t>灵活配置混合型证券投资基金开放日常申购、赎回、转换、定期定额投资业务公告</w:t>
      </w:r>
    </w:p>
    <w:p w:rsidR="003C4C0E" w:rsidRPr="003C4C0E" w:rsidRDefault="003C4C0E" w:rsidP="003C4C0E">
      <w:pPr>
        <w:widowControl/>
        <w:jc w:val="left"/>
        <w:rPr>
          <w:rFonts w:ascii="宋体" w:eastAsia="宋体" w:hAnsi="宋体" w:cs="宋体"/>
          <w:kern w:val="0"/>
          <w:sz w:val="24"/>
          <w:szCs w:val="24"/>
        </w:rPr>
      </w:pPr>
      <w:r w:rsidRPr="003C4C0E">
        <w:rPr>
          <w:rFonts w:ascii="宋体" w:eastAsia="宋体" w:hAnsi="宋体" w:cs="宋体"/>
          <w:kern w:val="0"/>
          <w:sz w:val="24"/>
          <w:szCs w:val="24"/>
        </w:rPr>
        <w:t>  2019-08-10 00:00:00   字号：</w:t>
      </w:r>
      <w:hyperlink r:id="rId6" w:history="1">
        <w:r w:rsidRPr="003C4C0E">
          <w:rPr>
            <w:rFonts w:ascii="宋体" w:eastAsia="宋体" w:hAnsi="宋体" w:cs="宋体"/>
            <w:color w:val="0000FF"/>
            <w:kern w:val="0"/>
            <w:sz w:val="24"/>
            <w:szCs w:val="24"/>
            <w:u w:val="single"/>
          </w:rPr>
          <w:t>大</w:t>
        </w:r>
      </w:hyperlink>
      <w:r w:rsidRPr="003C4C0E">
        <w:rPr>
          <w:rFonts w:ascii="宋体" w:eastAsia="宋体" w:hAnsi="宋体" w:cs="宋体"/>
          <w:kern w:val="0"/>
          <w:sz w:val="24"/>
          <w:szCs w:val="24"/>
        </w:rPr>
        <w:t xml:space="preserve"> </w:t>
      </w:r>
      <w:hyperlink r:id="rId7" w:history="1">
        <w:r w:rsidRPr="003C4C0E">
          <w:rPr>
            <w:rFonts w:ascii="宋体" w:eastAsia="宋体" w:hAnsi="宋体" w:cs="宋体"/>
            <w:color w:val="0000FF"/>
            <w:kern w:val="0"/>
            <w:sz w:val="24"/>
            <w:szCs w:val="24"/>
            <w:u w:val="single"/>
          </w:rPr>
          <w:t>中</w:t>
        </w:r>
      </w:hyperlink>
      <w:r w:rsidRPr="003C4C0E">
        <w:rPr>
          <w:rFonts w:ascii="宋体" w:eastAsia="宋体" w:hAnsi="宋体" w:cs="宋体"/>
          <w:kern w:val="0"/>
          <w:sz w:val="24"/>
          <w:szCs w:val="24"/>
        </w:rPr>
        <w:t xml:space="preserve"> </w:t>
      </w:r>
      <w:hyperlink r:id="rId8" w:history="1">
        <w:r w:rsidRPr="003C4C0E">
          <w:rPr>
            <w:rFonts w:ascii="宋体" w:eastAsia="宋体" w:hAnsi="宋体" w:cs="宋体"/>
            <w:color w:val="0000FF"/>
            <w:kern w:val="0"/>
            <w:sz w:val="24"/>
            <w:szCs w:val="24"/>
            <w:u w:val="single"/>
          </w:rPr>
          <w:t>小</w:t>
        </w:r>
      </w:hyperlink>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b/>
          <w:bCs/>
          <w:kern w:val="0"/>
          <w:sz w:val="24"/>
          <w:szCs w:val="24"/>
        </w:rPr>
        <w:t>公告送出日期：</w:t>
      </w:r>
      <w:bookmarkStart w:id="0" w:name="t_2_0_0003_a1_fm1"/>
      <w:bookmarkEnd w:id="0"/>
      <w:r w:rsidRPr="003C4C0E">
        <w:rPr>
          <w:rFonts w:ascii="宋体" w:eastAsia="宋体" w:hAnsi="宋体" w:cs="宋体"/>
          <w:b/>
          <w:bCs/>
          <w:kern w:val="0"/>
          <w:sz w:val="24"/>
          <w:szCs w:val="24"/>
        </w:rPr>
        <w:t>2019年8月10日</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 </w:t>
      </w:r>
    </w:p>
    <w:p w:rsidR="003C4C0E" w:rsidRPr="003C4C0E" w:rsidRDefault="003C4C0E" w:rsidP="003C4C0E">
      <w:pPr>
        <w:widowControl/>
        <w:spacing w:before="100" w:beforeAutospacing="1" w:after="100" w:afterAutospacing="1"/>
        <w:jc w:val="left"/>
        <w:outlineLvl w:val="1"/>
        <w:rPr>
          <w:rFonts w:ascii="宋体" w:eastAsia="宋体" w:hAnsi="宋体" w:cs="宋体"/>
          <w:b/>
          <w:bCs/>
          <w:kern w:val="0"/>
          <w:sz w:val="36"/>
          <w:szCs w:val="36"/>
        </w:rPr>
      </w:pPr>
      <w:r w:rsidRPr="003C4C0E">
        <w:rPr>
          <w:rFonts w:ascii="宋体" w:eastAsia="宋体" w:hAnsi="宋体" w:cs="宋体"/>
          <w:b/>
          <w:bCs/>
          <w:kern w:val="0"/>
          <w:sz w:val="36"/>
          <w:szCs w:val="36"/>
        </w:rPr>
        <w:t>1</w:t>
      </w:r>
      <w:bookmarkStart w:id="1" w:name="t_2_1_table"/>
      <w:bookmarkEnd w:id="1"/>
      <w:r w:rsidRPr="003C4C0E">
        <w:rPr>
          <w:rFonts w:ascii="宋体" w:eastAsia="宋体" w:hAnsi="宋体" w:cs="宋体"/>
          <w:b/>
          <w:bCs/>
          <w:kern w:val="0"/>
          <w:sz w:val="36"/>
          <w:szCs w:val="36"/>
        </w:rPr>
        <w:t>公告基本信息</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93"/>
        <w:gridCol w:w="4943"/>
      </w:tblGrid>
      <w:tr w:rsidR="003C4C0E" w:rsidRPr="003C4C0E" w:rsidTr="003C4C0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基金名称</w:t>
            </w:r>
          </w:p>
        </w:tc>
        <w:tc>
          <w:tcPr>
            <w:tcW w:w="522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2" w:name="t_2_1_0009_a1_fm1"/>
            <w:bookmarkEnd w:id="2"/>
            <w:proofErr w:type="gramStart"/>
            <w:r w:rsidRPr="003C4C0E">
              <w:rPr>
                <w:rFonts w:ascii="宋体" w:eastAsia="宋体" w:hAnsi="宋体" w:cs="宋体"/>
                <w:kern w:val="0"/>
                <w:sz w:val="24"/>
                <w:szCs w:val="24"/>
              </w:rPr>
              <w:t>汇添富盈泰</w:t>
            </w:r>
            <w:proofErr w:type="gramEnd"/>
            <w:r w:rsidRPr="003C4C0E">
              <w:rPr>
                <w:rFonts w:ascii="宋体" w:eastAsia="宋体" w:hAnsi="宋体" w:cs="宋体"/>
                <w:kern w:val="0"/>
                <w:sz w:val="24"/>
                <w:szCs w:val="24"/>
              </w:rPr>
              <w:t>灵活配置混合型证券投资基金</w:t>
            </w:r>
          </w:p>
        </w:tc>
      </w:tr>
      <w:tr w:rsidR="003C4C0E" w:rsidRPr="003C4C0E" w:rsidTr="003C4C0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基金简称</w:t>
            </w:r>
          </w:p>
        </w:tc>
        <w:tc>
          <w:tcPr>
            <w:tcW w:w="522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3" w:name="t_2_1_0011_a1_fm1"/>
            <w:bookmarkEnd w:id="3"/>
            <w:proofErr w:type="gramStart"/>
            <w:r w:rsidRPr="003C4C0E">
              <w:rPr>
                <w:rFonts w:ascii="宋体" w:eastAsia="宋体" w:hAnsi="宋体" w:cs="宋体"/>
                <w:kern w:val="0"/>
                <w:sz w:val="24"/>
                <w:szCs w:val="24"/>
              </w:rPr>
              <w:t>汇添富盈泰</w:t>
            </w:r>
            <w:proofErr w:type="gramEnd"/>
            <w:r w:rsidRPr="003C4C0E">
              <w:rPr>
                <w:rFonts w:ascii="宋体" w:eastAsia="宋体" w:hAnsi="宋体" w:cs="宋体"/>
                <w:kern w:val="0"/>
                <w:sz w:val="24"/>
                <w:szCs w:val="24"/>
              </w:rPr>
              <w:t>混合</w:t>
            </w:r>
          </w:p>
        </w:tc>
      </w:tr>
      <w:tr w:rsidR="003C4C0E" w:rsidRPr="003C4C0E" w:rsidTr="003C4C0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基金主代码</w:t>
            </w:r>
          </w:p>
        </w:tc>
        <w:tc>
          <w:tcPr>
            <w:tcW w:w="522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4" w:name="t_2_1_0012_a1_fm1"/>
            <w:bookmarkEnd w:id="4"/>
            <w:r w:rsidRPr="003C4C0E">
              <w:rPr>
                <w:rFonts w:ascii="宋体" w:eastAsia="宋体" w:hAnsi="宋体" w:cs="宋体"/>
                <w:kern w:val="0"/>
                <w:sz w:val="24"/>
                <w:szCs w:val="24"/>
              </w:rPr>
              <w:t>002959</w:t>
            </w:r>
          </w:p>
        </w:tc>
      </w:tr>
      <w:tr w:rsidR="003C4C0E" w:rsidRPr="003C4C0E" w:rsidTr="003C4C0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基金运作方式</w:t>
            </w:r>
          </w:p>
        </w:tc>
        <w:tc>
          <w:tcPr>
            <w:tcW w:w="522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5" w:name="t_2_1_0017_a1_fm1"/>
            <w:bookmarkEnd w:id="5"/>
            <w:r w:rsidRPr="003C4C0E">
              <w:rPr>
                <w:rFonts w:ascii="宋体" w:eastAsia="宋体" w:hAnsi="宋体" w:cs="宋体"/>
                <w:kern w:val="0"/>
                <w:sz w:val="24"/>
                <w:szCs w:val="24"/>
              </w:rPr>
              <w:t>契约型开放式</w:t>
            </w:r>
          </w:p>
        </w:tc>
      </w:tr>
      <w:tr w:rsidR="003C4C0E" w:rsidRPr="003C4C0E" w:rsidTr="003C4C0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基金合同生效日</w:t>
            </w:r>
          </w:p>
        </w:tc>
        <w:tc>
          <w:tcPr>
            <w:tcW w:w="522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6" w:name="t_2_1_0018_a1_fm1"/>
            <w:bookmarkEnd w:id="6"/>
            <w:r w:rsidRPr="003C4C0E">
              <w:rPr>
                <w:rFonts w:ascii="宋体" w:eastAsia="宋体" w:hAnsi="宋体" w:cs="宋体"/>
                <w:kern w:val="0"/>
                <w:sz w:val="24"/>
                <w:szCs w:val="24"/>
              </w:rPr>
              <w:t>2019年8月13日</w:t>
            </w:r>
          </w:p>
        </w:tc>
      </w:tr>
      <w:tr w:rsidR="003C4C0E" w:rsidRPr="003C4C0E" w:rsidTr="003C4C0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基金管理人名称</w:t>
            </w:r>
          </w:p>
        </w:tc>
        <w:tc>
          <w:tcPr>
            <w:tcW w:w="522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7" w:name="t_2_1_0186_a1_fm1"/>
            <w:bookmarkEnd w:id="7"/>
            <w:proofErr w:type="gramStart"/>
            <w:r w:rsidRPr="003C4C0E">
              <w:rPr>
                <w:rFonts w:ascii="宋体" w:eastAsia="宋体" w:hAnsi="宋体" w:cs="宋体"/>
                <w:kern w:val="0"/>
                <w:sz w:val="24"/>
                <w:szCs w:val="24"/>
              </w:rPr>
              <w:t>汇添富基金</w:t>
            </w:r>
            <w:proofErr w:type="gramEnd"/>
            <w:r w:rsidRPr="003C4C0E">
              <w:rPr>
                <w:rFonts w:ascii="宋体" w:eastAsia="宋体" w:hAnsi="宋体" w:cs="宋体"/>
                <w:kern w:val="0"/>
                <w:sz w:val="24"/>
                <w:szCs w:val="24"/>
              </w:rPr>
              <w:t>管理股份有限公司</w:t>
            </w:r>
          </w:p>
        </w:tc>
      </w:tr>
      <w:tr w:rsidR="003C4C0E" w:rsidRPr="003C4C0E" w:rsidTr="003C4C0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基金托管人名称</w:t>
            </w:r>
          </w:p>
        </w:tc>
        <w:tc>
          <w:tcPr>
            <w:tcW w:w="522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8" w:name="t_2_1_0213_a1_fm1"/>
            <w:bookmarkEnd w:id="8"/>
            <w:r w:rsidRPr="003C4C0E">
              <w:rPr>
                <w:rFonts w:ascii="宋体" w:eastAsia="宋体" w:hAnsi="宋体" w:cs="宋体"/>
                <w:kern w:val="0"/>
                <w:sz w:val="24"/>
                <w:szCs w:val="24"/>
              </w:rPr>
              <w:t>中国银行股份有限公司</w:t>
            </w:r>
          </w:p>
        </w:tc>
      </w:tr>
      <w:tr w:rsidR="003C4C0E" w:rsidRPr="003C4C0E" w:rsidTr="003C4C0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基金注册登记机构名称</w:t>
            </w:r>
          </w:p>
        </w:tc>
        <w:tc>
          <w:tcPr>
            <w:tcW w:w="522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9" w:name="t_2_1_0310_a1_fm1"/>
            <w:bookmarkEnd w:id="9"/>
            <w:proofErr w:type="gramStart"/>
            <w:r w:rsidRPr="003C4C0E">
              <w:rPr>
                <w:rFonts w:ascii="宋体" w:eastAsia="宋体" w:hAnsi="宋体" w:cs="宋体"/>
                <w:kern w:val="0"/>
                <w:sz w:val="24"/>
                <w:szCs w:val="24"/>
              </w:rPr>
              <w:t>汇添富基金</w:t>
            </w:r>
            <w:proofErr w:type="gramEnd"/>
            <w:r w:rsidRPr="003C4C0E">
              <w:rPr>
                <w:rFonts w:ascii="宋体" w:eastAsia="宋体" w:hAnsi="宋体" w:cs="宋体"/>
                <w:kern w:val="0"/>
                <w:sz w:val="24"/>
                <w:szCs w:val="24"/>
              </w:rPr>
              <w:t>管理股份有限公司</w:t>
            </w:r>
          </w:p>
        </w:tc>
      </w:tr>
      <w:tr w:rsidR="003C4C0E" w:rsidRPr="003C4C0E" w:rsidTr="003C4C0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公告依据</w:t>
            </w:r>
          </w:p>
        </w:tc>
        <w:tc>
          <w:tcPr>
            <w:tcW w:w="522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10" w:name="t_2_1_2631_a1_fm1"/>
            <w:bookmarkEnd w:id="10"/>
            <w:r w:rsidRPr="003C4C0E">
              <w:rPr>
                <w:rFonts w:ascii="宋体" w:eastAsia="宋体" w:hAnsi="宋体" w:cs="宋体"/>
                <w:kern w:val="0"/>
                <w:sz w:val="24"/>
                <w:szCs w:val="24"/>
              </w:rPr>
              <w:t>根据《中华人民共和国证券投资基金法》及其配套法规和《汇添富盈稳保本混合型证券投资基金基金合同》、《汇添富盈泰灵活配置混合型证券投资基金基金合同》的有关规定。</w:t>
            </w:r>
          </w:p>
        </w:tc>
      </w:tr>
      <w:tr w:rsidR="003C4C0E" w:rsidRPr="003C4C0E" w:rsidTr="003C4C0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申购起始日</w:t>
            </w:r>
          </w:p>
        </w:tc>
        <w:tc>
          <w:tcPr>
            <w:tcW w:w="522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11" w:name="t_2_1_2660_a1_fm1"/>
            <w:bookmarkEnd w:id="11"/>
            <w:r w:rsidRPr="003C4C0E">
              <w:rPr>
                <w:rFonts w:ascii="宋体" w:eastAsia="宋体" w:hAnsi="宋体" w:cs="宋体"/>
                <w:kern w:val="0"/>
                <w:sz w:val="24"/>
                <w:szCs w:val="24"/>
              </w:rPr>
              <w:t>2019年8月13日</w:t>
            </w:r>
          </w:p>
        </w:tc>
      </w:tr>
      <w:tr w:rsidR="003C4C0E" w:rsidRPr="003C4C0E" w:rsidTr="003C4C0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赎回起始日</w:t>
            </w:r>
          </w:p>
        </w:tc>
        <w:tc>
          <w:tcPr>
            <w:tcW w:w="522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12" w:name="t_2_1_2661_a1_fm1"/>
            <w:bookmarkEnd w:id="12"/>
            <w:r w:rsidRPr="003C4C0E">
              <w:rPr>
                <w:rFonts w:ascii="宋体" w:eastAsia="宋体" w:hAnsi="宋体" w:cs="宋体"/>
                <w:kern w:val="0"/>
                <w:sz w:val="24"/>
                <w:szCs w:val="24"/>
              </w:rPr>
              <w:t>2019年8月13日</w:t>
            </w:r>
          </w:p>
        </w:tc>
      </w:tr>
      <w:tr w:rsidR="003C4C0E" w:rsidRPr="003C4C0E" w:rsidTr="003C4C0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转换转入起始日</w:t>
            </w:r>
          </w:p>
        </w:tc>
        <w:tc>
          <w:tcPr>
            <w:tcW w:w="522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13" w:name="t_2_1_2793_a1_fm1"/>
            <w:bookmarkEnd w:id="13"/>
            <w:r w:rsidRPr="003C4C0E">
              <w:rPr>
                <w:rFonts w:ascii="宋体" w:eastAsia="宋体" w:hAnsi="宋体" w:cs="宋体"/>
                <w:kern w:val="0"/>
                <w:sz w:val="24"/>
                <w:szCs w:val="24"/>
              </w:rPr>
              <w:t>2019年8月13日</w:t>
            </w:r>
          </w:p>
        </w:tc>
      </w:tr>
      <w:tr w:rsidR="003C4C0E" w:rsidRPr="003C4C0E" w:rsidTr="003C4C0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转换转出起始日</w:t>
            </w:r>
          </w:p>
        </w:tc>
        <w:tc>
          <w:tcPr>
            <w:tcW w:w="522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14" w:name="t_2_1_2794_a1_fm1"/>
            <w:bookmarkEnd w:id="14"/>
            <w:r w:rsidRPr="003C4C0E">
              <w:rPr>
                <w:rFonts w:ascii="宋体" w:eastAsia="宋体" w:hAnsi="宋体" w:cs="宋体"/>
                <w:kern w:val="0"/>
                <w:sz w:val="24"/>
                <w:szCs w:val="24"/>
              </w:rPr>
              <w:t>2019年8月13日</w:t>
            </w:r>
          </w:p>
        </w:tc>
      </w:tr>
      <w:tr w:rsidR="003C4C0E" w:rsidRPr="003C4C0E" w:rsidTr="003C4C0E">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定期定额投资起始日</w:t>
            </w:r>
          </w:p>
        </w:tc>
        <w:tc>
          <w:tcPr>
            <w:tcW w:w="522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15" w:name="t_2_1_2795_a1_fm1"/>
            <w:bookmarkEnd w:id="15"/>
            <w:r w:rsidRPr="003C4C0E">
              <w:rPr>
                <w:rFonts w:ascii="宋体" w:eastAsia="宋体" w:hAnsi="宋体" w:cs="宋体"/>
                <w:kern w:val="0"/>
                <w:sz w:val="24"/>
                <w:szCs w:val="24"/>
              </w:rPr>
              <w:t>2019年8月13日</w:t>
            </w:r>
          </w:p>
        </w:tc>
      </w:tr>
    </w:tbl>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注：</w:t>
      </w:r>
      <w:proofErr w:type="gramStart"/>
      <w:r w:rsidRPr="003C4C0E">
        <w:rPr>
          <w:rFonts w:ascii="宋体" w:eastAsia="宋体" w:hAnsi="宋体" w:cs="宋体"/>
          <w:kern w:val="0"/>
          <w:sz w:val="24"/>
          <w:szCs w:val="24"/>
        </w:rPr>
        <w:t>汇添富盈稳</w:t>
      </w:r>
      <w:proofErr w:type="gramEnd"/>
      <w:r w:rsidRPr="003C4C0E">
        <w:rPr>
          <w:rFonts w:ascii="宋体" w:eastAsia="宋体" w:hAnsi="宋体" w:cs="宋体"/>
          <w:kern w:val="0"/>
          <w:sz w:val="24"/>
          <w:szCs w:val="24"/>
        </w:rPr>
        <w:t>保本混合型证券投资基金第一个保本周期已于2019年8月5日到期，并根据基金合同，将于2019年8月13日起转型为“汇添富盈泰灵活配置混合型证券投资基金”，即2019年8月13日起，</w:t>
      </w:r>
      <w:proofErr w:type="gramStart"/>
      <w:r w:rsidRPr="003C4C0E">
        <w:rPr>
          <w:rFonts w:ascii="宋体" w:eastAsia="宋体" w:hAnsi="宋体" w:cs="宋体"/>
          <w:kern w:val="0"/>
          <w:sz w:val="24"/>
          <w:szCs w:val="24"/>
        </w:rPr>
        <w:t>汇添富盈泰</w:t>
      </w:r>
      <w:proofErr w:type="gramEnd"/>
      <w:r w:rsidRPr="003C4C0E">
        <w:rPr>
          <w:rFonts w:ascii="宋体" w:eastAsia="宋体" w:hAnsi="宋体" w:cs="宋体"/>
          <w:kern w:val="0"/>
          <w:sz w:val="24"/>
          <w:szCs w:val="24"/>
        </w:rPr>
        <w:t>灵活配置混合型证券投资基金的基金合同及托管协议生效，原</w:t>
      </w:r>
      <w:proofErr w:type="gramStart"/>
      <w:r w:rsidRPr="003C4C0E">
        <w:rPr>
          <w:rFonts w:ascii="宋体" w:eastAsia="宋体" w:hAnsi="宋体" w:cs="宋体"/>
          <w:kern w:val="0"/>
          <w:sz w:val="24"/>
          <w:szCs w:val="24"/>
        </w:rPr>
        <w:t>汇添富盈稳</w:t>
      </w:r>
      <w:proofErr w:type="gramEnd"/>
      <w:r w:rsidRPr="003C4C0E">
        <w:rPr>
          <w:rFonts w:ascii="宋体" w:eastAsia="宋体" w:hAnsi="宋体" w:cs="宋体"/>
          <w:kern w:val="0"/>
          <w:sz w:val="24"/>
          <w:szCs w:val="24"/>
        </w:rPr>
        <w:t>保本混合型证券投资基金的基金合同及托管协议失效。</w:t>
      </w:r>
    </w:p>
    <w:p w:rsidR="003C4C0E" w:rsidRPr="003C4C0E" w:rsidRDefault="003C4C0E" w:rsidP="003C4C0E">
      <w:pPr>
        <w:widowControl/>
        <w:spacing w:before="100" w:beforeAutospacing="1" w:after="100" w:afterAutospacing="1"/>
        <w:jc w:val="left"/>
        <w:outlineLvl w:val="1"/>
        <w:rPr>
          <w:rFonts w:ascii="宋体" w:eastAsia="宋体" w:hAnsi="宋体" w:cs="宋体"/>
          <w:b/>
          <w:bCs/>
          <w:kern w:val="0"/>
          <w:sz w:val="36"/>
          <w:szCs w:val="36"/>
        </w:rPr>
      </w:pPr>
      <w:r w:rsidRPr="003C4C0E">
        <w:rPr>
          <w:rFonts w:ascii="宋体" w:eastAsia="宋体" w:hAnsi="宋体" w:cs="宋体"/>
          <w:b/>
          <w:bCs/>
          <w:kern w:val="0"/>
          <w:sz w:val="36"/>
          <w:szCs w:val="36"/>
        </w:rPr>
        <w:t xml:space="preserve">2 </w:t>
      </w:r>
      <w:bookmarkStart w:id="16" w:name="t_2_2_table"/>
      <w:bookmarkEnd w:id="16"/>
      <w:r w:rsidRPr="003C4C0E">
        <w:rPr>
          <w:rFonts w:ascii="宋体" w:eastAsia="宋体" w:hAnsi="宋体" w:cs="宋体"/>
          <w:b/>
          <w:bCs/>
          <w:kern w:val="0"/>
          <w:sz w:val="36"/>
          <w:szCs w:val="36"/>
        </w:rPr>
        <w:t>日常申购、赎回、转换、定期定额投资业务的办理时间</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17" w:name="t_2_2_2819_a1_fm1"/>
      <w:bookmarkEnd w:id="17"/>
      <w:r w:rsidRPr="003C4C0E">
        <w:rPr>
          <w:rFonts w:ascii="宋体" w:eastAsia="宋体" w:hAnsi="宋体" w:cs="宋体"/>
          <w:kern w:val="0"/>
          <w:sz w:val="24"/>
          <w:szCs w:val="24"/>
        </w:rPr>
        <w:lastRenderedPageBreak/>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3C4C0E" w:rsidRPr="003C4C0E" w:rsidRDefault="003C4C0E" w:rsidP="003C4C0E">
      <w:pPr>
        <w:widowControl/>
        <w:spacing w:before="100" w:beforeAutospacing="1" w:after="100" w:afterAutospacing="1"/>
        <w:jc w:val="left"/>
        <w:outlineLvl w:val="1"/>
        <w:rPr>
          <w:rFonts w:ascii="宋体" w:eastAsia="宋体" w:hAnsi="宋体" w:cs="宋体"/>
          <w:b/>
          <w:bCs/>
          <w:kern w:val="0"/>
          <w:sz w:val="36"/>
          <w:szCs w:val="36"/>
        </w:rPr>
      </w:pPr>
      <w:r w:rsidRPr="003C4C0E">
        <w:rPr>
          <w:rFonts w:ascii="宋体" w:eastAsia="宋体" w:hAnsi="宋体" w:cs="宋体"/>
          <w:b/>
          <w:bCs/>
          <w:kern w:val="0"/>
          <w:sz w:val="36"/>
          <w:szCs w:val="36"/>
        </w:rPr>
        <w:t>3 日常申购业务</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b/>
          <w:bCs/>
          <w:kern w:val="0"/>
          <w:sz w:val="24"/>
          <w:szCs w:val="24"/>
        </w:rPr>
        <w:t xml:space="preserve">3.1 </w:t>
      </w:r>
      <w:bookmarkStart w:id="18" w:name="t_2_3_1_table"/>
      <w:bookmarkEnd w:id="18"/>
      <w:r w:rsidRPr="003C4C0E">
        <w:rPr>
          <w:rFonts w:ascii="宋体" w:eastAsia="宋体" w:hAnsi="宋体" w:cs="宋体"/>
          <w:b/>
          <w:bCs/>
          <w:kern w:val="0"/>
          <w:sz w:val="24"/>
          <w:szCs w:val="24"/>
        </w:rPr>
        <w:t>申购金额限制</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19" w:name="t_2_3_1_2820_a1_fm1"/>
      <w:bookmarkEnd w:id="19"/>
      <w:r w:rsidRPr="003C4C0E">
        <w:rPr>
          <w:rFonts w:ascii="宋体" w:eastAsia="宋体" w:hAnsi="宋体" w:cs="宋体"/>
          <w:kern w:val="0"/>
          <w:sz w:val="24"/>
          <w:szCs w:val="24"/>
        </w:rPr>
        <w:t>1、投资者通过销售机构的销售网点申购本</w:t>
      </w:r>
      <w:proofErr w:type="gramStart"/>
      <w:r w:rsidRPr="003C4C0E">
        <w:rPr>
          <w:rFonts w:ascii="宋体" w:eastAsia="宋体" w:hAnsi="宋体" w:cs="宋体"/>
          <w:kern w:val="0"/>
          <w:sz w:val="24"/>
          <w:szCs w:val="24"/>
        </w:rPr>
        <w:t>基金基金</w:t>
      </w:r>
      <w:proofErr w:type="gramEnd"/>
      <w:r w:rsidRPr="003C4C0E">
        <w:rPr>
          <w:rFonts w:ascii="宋体" w:eastAsia="宋体" w:hAnsi="宋体" w:cs="宋体"/>
          <w:kern w:val="0"/>
          <w:sz w:val="24"/>
          <w:szCs w:val="24"/>
        </w:rPr>
        <w:t>份额单笔最低金额为人民币10元（含申购费）；通过基金管理人直销中心首次申购本</w:t>
      </w:r>
      <w:proofErr w:type="gramStart"/>
      <w:r w:rsidRPr="003C4C0E">
        <w:rPr>
          <w:rFonts w:ascii="宋体" w:eastAsia="宋体" w:hAnsi="宋体" w:cs="宋体"/>
          <w:kern w:val="0"/>
          <w:sz w:val="24"/>
          <w:szCs w:val="24"/>
        </w:rPr>
        <w:t>基金基金</w:t>
      </w:r>
      <w:proofErr w:type="gramEnd"/>
      <w:r w:rsidRPr="003C4C0E">
        <w:rPr>
          <w:rFonts w:ascii="宋体" w:eastAsia="宋体" w:hAnsi="宋体" w:cs="宋体"/>
          <w:kern w:val="0"/>
          <w:sz w:val="24"/>
          <w:szCs w:val="24"/>
        </w:rPr>
        <w:t>份额的最低金额为人民币50000元（含申购费）。通过基金管理人网上直销系统（trade.99fund.com）申购本</w:t>
      </w:r>
      <w:proofErr w:type="gramStart"/>
      <w:r w:rsidRPr="003C4C0E">
        <w:rPr>
          <w:rFonts w:ascii="宋体" w:eastAsia="宋体" w:hAnsi="宋体" w:cs="宋体"/>
          <w:kern w:val="0"/>
          <w:sz w:val="24"/>
          <w:szCs w:val="24"/>
        </w:rPr>
        <w:t>基金基金</w:t>
      </w:r>
      <w:proofErr w:type="gramEnd"/>
      <w:r w:rsidRPr="003C4C0E">
        <w:rPr>
          <w:rFonts w:ascii="宋体" w:eastAsia="宋体" w:hAnsi="宋体" w:cs="宋体"/>
          <w:kern w:val="0"/>
          <w:sz w:val="24"/>
          <w:szCs w:val="24"/>
        </w:rPr>
        <w:t>份额单笔最低金额为人民币10元（含申购费）。超过最低申购金额的部分不设金额级差。各销售机构对本基金最低申购金额及交易级差有其他规定的，以各销售机构的业务规定为准。</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2、投资者将当期分配的基金收益转为基金份额时，不受最低申购金额的限制。</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3、投资者可多次申购，对单个投资者累计持有基金份额的比例或数量不设上限限制，但单一投资者持有基金份额数不得达到或超过基金份额总数的50%（在基金运作过程中因基金份额赎回等情形导致被动达到或超过50%的除外）。法律法规、中国证监会另有规定的除外。</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4、基金管理人可在法律法规允许的情况下，调整上述规定申购金额的数量限制。当接受申购申请对存量基金份额持有人利益构成潜在重大不利影响时，基金管理人应当采取规定单个投资者申购金额上限、基金规模上限或基金单日净申购比例上限，以及拒绝大额申购、暂停基金申购等措施，切实保护存量基金份额持有人的合法权益。基金管理人必须在调整实施前依照《信息披露办法》的有关规定在指定媒介上公告并报中国证监会备案。</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b/>
          <w:bCs/>
          <w:kern w:val="0"/>
          <w:sz w:val="24"/>
          <w:szCs w:val="24"/>
        </w:rPr>
        <w:t xml:space="preserve">3.2 </w:t>
      </w:r>
      <w:bookmarkStart w:id="20" w:name="t_2_3_2_table"/>
      <w:bookmarkEnd w:id="20"/>
      <w:r w:rsidRPr="003C4C0E">
        <w:rPr>
          <w:rFonts w:ascii="宋体" w:eastAsia="宋体" w:hAnsi="宋体" w:cs="宋体"/>
          <w:b/>
          <w:bCs/>
          <w:kern w:val="0"/>
          <w:sz w:val="24"/>
          <w:szCs w:val="24"/>
        </w:rPr>
        <w:t>申购费率</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21" w:name="t_2_3_2_2842_a1_fm1"/>
      <w:bookmarkEnd w:id="21"/>
      <w:r w:rsidRPr="003C4C0E">
        <w:rPr>
          <w:rFonts w:ascii="宋体" w:eastAsia="宋体" w:hAnsi="宋体" w:cs="宋体"/>
          <w:b/>
          <w:bCs/>
          <w:kern w:val="0"/>
          <w:sz w:val="24"/>
          <w:szCs w:val="24"/>
        </w:rPr>
        <w:t>3.2.1</w:t>
      </w:r>
      <w:bookmarkStart w:id="22" w:name="t_2_3_2_q_table"/>
      <w:bookmarkEnd w:id="22"/>
      <w:r w:rsidRPr="003C4C0E">
        <w:rPr>
          <w:rFonts w:ascii="宋体" w:eastAsia="宋体" w:hAnsi="宋体" w:cs="宋体"/>
          <w:b/>
          <w:bCs/>
          <w:kern w:val="0"/>
          <w:sz w:val="24"/>
          <w:szCs w:val="24"/>
        </w:rPr>
        <w:t xml:space="preserve"> 前端收费</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本基金申购费用采取前端收费模式，申购费率如下：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73"/>
        <w:gridCol w:w="4163"/>
      </w:tblGrid>
      <w:tr w:rsidR="003C4C0E" w:rsidRPr="003C4C0E" w:rsidTr="003C4C0E">
        <w:trPr>
          <w:tblCellSpacing w:w="0" w:type="dxa"/>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申购金额（M）</w:t>
            </w:r>
          </w:p>
        </w:tc>
        <w:tc>
          <w:tcPr>
            <w:tcW w:w="4260"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申购费率</w:t>
            </w:r>
          </w:p>
        </w:tc>
      </w:tr>
      <w:tr w:rsidR="003C4C0E" w:rsidRPr="003C4C0E" w:rsidTr="003C4C0E">
        <w:trPr>
          <w:tblCellSpacing w:w="0" w:type="dxa"/>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M&lt;100万元</w:t>
            </w:r>
          </w:p>
        </w:tc>
        <w:tc>
          <w:tcPr>
            <w:tcW w:w="4260"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1.2%</w:t>
            </w:r>
          </w:p>
        </w:tc>
      </w:tr>
      <w:tr w:rsidR="003C4C0E" w:rsidRPr="003C4C0E" w:rsidTr="003C4C0E">
        <w:trPr>
          <w:tblCellSpacing w:w="0" w:type="dxa"/>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100万元≤M&lt;500万元</w:t>
            </w:r>
          </w:p>
        </w:tc>
        <w:tc>
          <w:tcPr>
            <w:tcW w:w="4260"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0.6%</w:t>
            </w:r>
          </w:p>
        </w:tc>
      </w:tr>
      <w:tr w:rsidR="003C4C0E" w:rsidRPr="003C4C0E" w:rsidTr="003C4C0E">
        <w:trPr>
          <w:tblCellSpacing w:w="0" w:type="dxa"/>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M≥500万元</w:t>
            </w:r>
          </w:p>
        </w:tc>
        <w:tc>
          <w:tcPr>
            <w:tcW w:w="4260"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每笔1000元</w:t>
            </w:r>
          </w:p>
        </w:tc>
      </w:tr>
    </w:tbl>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lastRenderedPageBreak/>
        <w:t> </w:t>
      </w:r>
    </w:p>
    <w:p w:rsidR="003C4C0E" w:rsidRPr="003C4C0E" w:rsidRDefault="003C4C0E" w:rsidP="003C4C0E">
      <w:pPr>
        <w:widowControl/>
        <w:spacing w:before="100" w:beforeAutospacing="1" w:after="100" w:afterAutospacing="1"/>
        <w:jc w:val="left"/>
        <w:outlineLvl w:val="1"/>
        <w:rPr>
          <w:rFonts w:ascii="宋体" w:eastAsia="宋体" w:hAnsi="宋体" w:cs="宋体"/>
          <w:b/>
          <w:bCs/>
          <w:kern w:val="0"/>
          <w:sz w:val="36"/>
          <w:szCs w:val="36"/>
        </w:rPr>
      </w:pPr>
      <w:bookmarkStart w:id="23" w:name="t_2_3_2_q_01_2682_a1_fm2210"/>
      <w:bookmarkEnd w:id="23"/>
      <w:r w:rsidRPr="003C4C0E">
        <w:rPr>
          <w:rFonts w:ascii="宋体" w:eastAsia="宋体" w:hAnsi="宋体" w:cs="宋体"/>
          <w:b/>
          <w:bCs/>
          <w:kern w:val="0"/>
          <w:sz w:val="36"/>
          <w:szCs w:val="36"/>
        </w:rPr>
        <w:t>4 日常赎回业务</w:t>
      </w:r>
    </w:p>
    <w:p w:rsidR="003C4C0E" w:rsidRPr="003C4C0E" w:rsidRDefault="003C4C0E" w:rsidP="003C4C0E">
      <w:pPr>
        <w:widowControl/>
        <w:spacing w:before="100" w:beforeAutospacing="1" w:after="100" w:afterAutospacing="1"/>
        <w:jc w:val="left"/>
        <w:outlineLvl w:val="1"/>
        <w:rPr>
          <w:rFonts w:ascii="宋体" w:eastAsia="宋体" w:hAnsi="宋体" w:cs="宋体"/>
          <w:b/>
          <w:bCs/>
          <w:kern w:val="0"/>
          <w:sz w:val="36"/>
          <w:szCs w:val="36"/>
        </w:rPr>
      </w:pPr>
      <w:r w:rsidRPr="003C4C0E">
        <w:rPr>
          <w:rFonts w:ascii="宋体" w:eastAsia="宋体" w:hAnsi="宋体" w:cs="宋体"/>
          <w:b/>
          <w:bCs/>
          <w:kern w:val="0"/>
          <w:sz w:val="36"/>
          <w:szCs w:val="36"/>
        </w:rPr>
        <w:t>4.1</w:t>
      </w:r>
      <w:bookmarkStart w:id="24" w:name="t_2_4_1_table"/>
      <w:bookmarkEnd w:id="24"/>
      <w:r w:rsidRPr="003C4C0E">
        <w:rPr>
          <w:rFonts w:ascii="宋体" w:eastAsia="宋体" w:hAnsi="宋体" w:cs="宋体"/>
          <w:b/>
          <w:bCs/>
          <w:kern w:val="0"/>
          <w:sz w:val="36"/>
          <w:szCs w:val="36"/>
        </w:rPr>
        <w:t xml:space="preserve"> 赎回份额限制</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25" w:name="t_2_4_1_2822_a1_fm1"/>
      <w:bookmarkEnd w:id="25"/>
      <w:r w:rsidRPr="003C4C0E">
        <w:rPr>
          <w:rFonts w:ascii="宋体" w:eastAsia="宋体" w:hAnsi="宋体" w:cs="宋体"/>
          <w:kern w:val="0"/>
          <w:sz w:val="24"/>
          <w:szCs w:val="24"/>
        </w:rPr>
        <w:t>1、投资者可将其全部或部分基金份额赎回，赎回最低份额1份，基金份额持有人在销售机构保留的基金份额不足1份的，登记系统有权将全部剩余份额自动赎回。</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2、基金管理人可在法律法规允许的情况下，调整上述规定赎回份额的数量限制。基金管理人必须在调整实施前依照《信息披露办法》的有关规定在指定媒介上公告并报中国证监会备案。</w:t>
      </w:r>
    </w:p>
    <w:p w:rsidR="003C4C0E" w:rsidRPr="003C4C0E" w:rsidRDefault="003C4C0E" w:rsidP="003C4C0E">
      <w:pPr>
        <w:widowControl/>
        <w:spacing w:before="100" w:beforeAutospacing="1" w:after="100" w:afterAutospacing="1"/>
        <w:jc w:val="left"/>
        <w:outlineLvl w:val="1"/>
        <w:rPr>
          <w:rFonts w:ascii="宋体" w:eastAsia="宋体" w:hAnsi="宋体" w:cs="宋体"/>
          <w:b/>
          <w:bCs/>
          <w:kern w:val="0"/>
          <w:sz w:val="36"/>
          <w:szCs w:val="36"/>
        </w:rPr>
      </w:pPr>
      <w:r w:rsidRPr="003C4C0E">
        <w:rPr>
          <w:rFonts w:ascii="宋体" w:eastAsia="宋体" w:hAnsi="宋体" w:cs="宋体"/>
          <w:b/>
          <w:bCs/>
          <w:kern w:val="0"/>
          <w:sz w:val="36"/>
          <w:szCs w:val="36"/>
        </w:rPr>
        <w:t xml:space="preserve">4.2 </w:t>
      </w:r>
      <w:bookmarkStart w:id="26" w:name="t_2_4_2_table"/>
      <w:bookmarkEnd w:id="26"/>
      <w:r w:rsidRPr="003C4C0E">
        <w:rPr>
          <w:rFonts w:ascii="宋体" w:eastAsia="宋体" w:hAnsi="宋体" w:cs="宋体"/>
          <w:b/>
          <w:bCs/>
          <w:kern w:val="0"/>
          <w:sz w:val="36"/>
          <w:szCs w:val="36"/>
        </w:rPr>
        <w:t>赎回费率</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27" w:name="t_2_4_2_2843_a1_fm1"/>
      <w:bookmarkEnd w:id="27"/>
      <w:r w:rsidRPr="003C4C0E">
        <w:rPr>
          <w:rFonts w:ascii="宋体" w:eastAsia="宋体" w:hAnsi="宋体" w:cs="宋体"/>
          <w:kern w:val="0"/>
          <w:sz w:val="24"/>
          <w:szCs w:val="24"/>
        </w:rPr>
        <w:t>本基金赎回费用按基金份额持有人持有该部分基金份额的时间分段设定如下：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68"/>
        <w:gridCol w:w="2851"/>
        <w:gridCol w:w="2617"/>
      </w:tblGrid>
      <w:tr w:rsidR="003C4C0E" w:rsidRPr="003C4C0E" w:rsidTr="003C4C0E">
        <w:trPr>
          <w:tblCellSpacing w:w="0" w:type="dxa"/>
        </w:trPr>
        <w:tc>
          <w:tcPr>
            <w:tcW w:w="2925"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持有期限（N）</w:t>
            </w:r>
          </w:p>
        </w:tc>
        <w:tc>
          <w:tcPr>
            <w:tcW w:w="2910"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赎回费率</w:t>
            </w:r>
          </w:p>
        </w:tc>
        <w:tc>
          <w:tcPr>
            <w:tcW w:w="267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归入基金资产比例</w:t>
            </w:r>
          </w:p>
        </w:tc>
      </w:tr>
      <w:tr w:rsidR="003C4C0E" w:rsidRPr="003C4C0E" w:rsidTr="003C4C0E">
        <w:trPr>
          <w:tblCellSpacing w:w="0" w:type="dxa"/>
        </w:trPr>
        <w:tc>
          <w:tcPr>
            <w:tcW w:w="2925"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N＜1年</w:t>
            </w:r>
          </w:p>
        </w:tc>
        <w:tc>
          <w:tcPr>
            <w:tcW w:w="2910"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2.0%</w:t>
            </w:r>
          </w:p>
        </w:tc>
        <w:tc>
          <w:tcPr>
            <w:tcW w:w="267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2925"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1年≤N＜2年</w:t>
            </w:r>
          </w:p>
        </w:tc>
        <w:tc>
          <w:tcPr>
            <w:tcW w:w="2910"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c>
          <w:tcPr>
            <w:tcW w:w="267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25%</w:t>
            </w:r>
          </w:p>
        </w:tc>
      </w:tr>
      <w:tr w:rsidR="003C4C0E" w:rsidRPr="003C4C0E" w:rsidTr="003C4C0E">
        <w:trPr>
          <w:tblCellSpacing w:w="0" w:type="dxa"/>
        </w:trPr>
        <w:tc>
          <w:tcPr>
            <w:tcW w:w="2925"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N≥2年</w:t>
            </w:r>
          </w:p>
        </w:tc>
        <w:tc>
          <w:tcPr>
            <w:tcW w:w="2910" w:type="dxa"/>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0%</w:t>
            </w:r>
          </w:p>
        </w:tc>
        <w:tc>
          <w:tcPr>
            <w:tcW w:w="2670" w:type="dxa"/>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w:t>
            </w:r>
          </w:p>
        </w:tc>
      </w:tr>
    </w:tbl>
    <w:p w:rsidR="003C4C0E" w:rsidRPr="003C4C0E" w:rsidRDefault="003C4C0E" w:rsidP="003C4C0E">
      <w:pPr>
        <w:widowControl/>
        <w:spacing w:before="100" w:beforeAutospacing="1" w:after="100" w:afterAutospacing="1"/>
        <w:jc w:val="left"/>
        <w:outlineLvl w:val="1"/>
        <w:rPr>
          <w:rFonts w:ascii="宋体" w:eastAsia="宋体" w:hAnsi="宋体" w:cs="宋体"/>
          <w:b/>
          <w:bCs/>
          <w:kern w:val="0"/>
          <w:sz w:val="36"/>
          <w:szCs w:val="36"/>
        </w:rPr>
      </w:pPr>
      <w:r w:rsidRPr="003C4C0E">
        <w:rPr>
          <w:rFonts w:ascii="宋体" w:eastAsia="宋体" w:hAnsi="宋体" w:cs="宋体"/>
          <w:b/>
          <w:bCs/>
          <w:kern w:val="0"/>
          <w:sz w:val="36"/>
          <w:szCs w:val="36"/>
        </w:rPr>
        <w:t> </w:t>
      </w:r>
    </w:p>
    <w:p w:rsidR="003C4C0E" w:rsidRPr="003C4C0E" w:rsidRDefault="003C4C0E" w:rsidP="003C4C0E">
      <w:pPr>
        <w:widowControl/>
        <w:spacing w:before="100" w:beforeAutospacing="1" w:after="100" w:afterAutospacing="1"/>
        <w:jc w:val="left"/>
        <w:outlineLvl w:val="1"/>
        <w:rPr>
          <w:rFonts w:ascii="宋体" w:eastAsia="宋体" w:hAnsi="宋体" w:cs="宋体"/>
          <w:b/>
          <w:bCs/>
          <w:kern w:val="0"/>
          <w:sz w:val="36"/>
          <w:szCs w:val="36"/>
        </w:rPr>
      </w:pPr>
      <w:r w:rsidRPr="003C4C0E">
        <w:rPr>
          <w:rFonts w:ascii="宋体" w:eastAsia="宋体" w:hAnsi="宋体" w:cs="宋体"/>
          <w:b/>
          <w:bCs/>
          <w:kern w:val="0"/>
          <w:sz w:val="36"/>
          <w:szCs w:val="36"/>
        </w:rPr>
        <w:t xml:space="preserve">5 </w:t>
      </w:r>
      <w:bookmarkStart w:id="28" w:name="t_2_5_table"/>
      <w:bookmarkEnd w:id="28"/>
      <w:r w:rsidRPr="003C4C0E">
        <w:rPr>
          <w:rFonts w:ascii="宋体" w:eastAsia="宋体" w:hAnsi="宋体" w:cs="宋体"/>
          <w:b/>
          <w:bCs/>
          <w:kern w:val="0"/>
          <w:sz w:val="36"/>
          <w:szCs w:val="36"/>
        </w:rPr>
        <w:t>日常转换业务</w:t>
      </w:r>
    </w:p>
    <w:p w:rsidR="003C4C0E" w:rsidRPr="003C4C0E" w:rsidRDefault="003C4C0E" w:rsidP="003C4C0E">
      <w:pPr>
        <w:widowControl/>
        <w:spacing w:before="100" w:beforeAutospacing="1" w:after="100" w:afterAutospacing="1"/>
        <w:jc w:val="left"/>
        <w:outlineLvl w:val="1"/>
        <w:rPr>
          <w:rFonts w:ascii="宋体" w:eastAsia="宋体" w:hAnsi="宋体" w:cs="宋体"/>
          <w:b/>
          <w:bCs/>
          <w:kern w:val="0"/>
          <w:sz w:val="36"/>
          <w:szCs w:val="36"/>
        </w:rPr>
      </w:pPr>
      <w:r w:rsidRPr="003C4C0E">
        <w:rPr>
          <w:rFonts w:ascii="宋体" w:eastAsia="宋体" w:hAnsi="宋体" w:cs="宋体"/>
          <w:b/>
          <w:bCs/>
          <w:kern w:val="0"/>
          <w:sz w:val="36"/>
          <w:szCs w:val="36"/>
        </w:rPr>
        <w:t>5.1 转换费率</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29" w:name="t_2_5_0179_a1_fm1"/>
      <w:bookmarkEnd w:id="29"/>
      <w:r w:rsidRPr="003C4C0E">
        <w:rPr>
          <w:rFonts w:ascii="宋体" w:eastAsia="宋体" w:hAnsi="宋体" w:cs="宋体"/>
          <w:kern w:val="0"/>
          <w:sz w:val="24"/>
          <w:szCs w:val="24"/>
        </w:rPr>
        <w:t>基金的转换按照转出基金的赎回费用加上转出与转入基金申购费用补差的标准收取费用。上述基金调整后的转换费用如下：</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（一）赎回费用</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转出基金的赎回费率按持有年限递减，具体各基金的赎回费率请参见各基金的招募说明书或在本公司网站（www.99fund.com）查询。基金转换费用中转出基金的赎回费总额的归入转出基金的基金财产的比例参照赎回费率的规定。</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（二）申购补差费用</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lastRenderedPageBreak/>
        <w:t xml:space="preserve">当转出基金申购费率低于转入基金申购费率时，费用补差为按照转出基金金额计算的申购费用差额；当转出基金申购费率不低于转入基金申购费率时，不收取费用补差。 </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基金转换份额的计算</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1）计算公式：</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 xml:space="preserve">转出确认金额＝转出份额×转出基金份额净值 </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赎回费＝转出确认金额×赎回费率</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补差费＝(转出确认金额－赎回费)×补差费率÷(1＋补差费率)</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转入确认金额＝转出确认金额－赎回费－补差费</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转入确认份额＝转入确认金额÷转入基金份额净值</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（若转出基金申购费率不低于转入基金申购费率时，补差费为零）</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2）举例：</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某基金份额持有人申请将已持有100天的</w:t>
      </w:r>
      <w:proofErr w:type="gramStart"/>
      <w:r w:rsidRPr="003C4C0E">
        <w:rPr>
          <w:rFonts w:ascii="宋体" w:eastAsia="宋体" w:hAnsi="宋体" w:cs="宋体"/>
          <w:kern w:val="0"/>
          <w:sz w:val="24"/>
          <w:szCs w:val="24"/>
        </w:rPr>
        <w:t>汇添富深</w:t>
      </w:r>
      <w:proofErr w:type="gramEnd"/>
      <w:r w:rsidRPr="003C4C0E">
        <w:rPr>
          <w:rFonts w:ascii="宋体" w:eastAsia="宋体" w:hAnsi="宋体" w:cs="宋体"/>
          <w:kern w:val="0"/>
          <w:sz w:val="24"/>
          <w:szCs w:val="24"/>
        </w:rPr>
        <w:t>证300ETF联接基金10万份转换为</w:t>
      </w:r>
      <w:proofErr w:type="gramStart"/>
      <w:r w:rsidRPr="003C4C0E">
        <w:rPr>
          <w:rFonts w:ascii="宋体" w:eastAsia="宋体" w:hAnsi="宋体" w:cs="宋体"/>
          <w:kern w:val="0"/>
          <w:sz w:val="24"/>
          <w:szCs w:val="24"/>
        </w:rPr>
        <w:t>汇添富盈泰</w:t>
      </w:r>
      <w:proofErr w:type="gramEnd"/>
      <w:r w:rsidRPr="003C4C0E">
        <w:rPr>
          <w:rFonts w:ascii="宋体" w:eastAsia="宋体" w:hAnsi="宋体" w:cs="宋体"/>
          <w:kern w:val="0"/>
          <w:sz w:val="24"/>
          <w:szCs w:val="24"/>
        </w:rPr>
        <w:t>混合基金。假设转换当日转出基金份额净值为1.0066元，转入基金的份额净值为1.001元，对应赎回费率为0.5%，</w:t>
      </w:r>
      <w:proofErr w:type="gramStart"/>
      <w:r w:rsidRPr="003C4C0E">
        <w:rPr>
          <w:rFonts w:ascii="宋体" w:eastAsia="宋体" w:hAnsi="宋体" w:cs="宋体"/>
          <w:kern w:val="0"/>
          <w:sz w:val="24"/>
          <w:szCs w:val="24"/>
        </w:rPr>
        <w:t>汇添富深</w:t>
      </w:r>
      <w:proofErr w:type="gramEnd"/>
      <w:r w:rsidRPr="003C4C0E">
        <w:rPr>
          <w:rFonts w:ascii="宋体" w:eastAsia="宋体" w:hAnsi="宋体" w:cs="宋体"/>
          <w:kern w:val="0"/>
          <w:sz w:val="24"/>
          <w:szCs w:val="24"/>
        </w:rPr>
        <w:t>证300ETF联接基金申购费率1.00%，</w:t>
      </w:r>
      <w:proofErr w:type="gramStart"/>
      <w:r w:rsidRPr="003C4C0E">
        <w:rPr>
          <w:rFonts w:ascii="宋体" w:eastAsia="宋体" w:hAnsi="宋体" w:cs="宋体"/>
          <w:kern w:val="0"/>
          <w:sz w:val="24"/>
          <w:szCs w:val="24"/>
        </w:rPr>
        <w:t>汇添富盈泰</w:t>
      </w:r>
      <w:proofErr w:type="gramEnd"/>
      <w:r w:rsidRPr="003C4C0E">
        <w:rPr>
          <w:rFonts w:ascii="宋体" w:eastAsia="宋体" w:hAnsi="宋体" w:cs="宋体"/>
          <w:kern w:val="0"/>
          <w:sz w:val="24"/>
          <w:szCs w:val="24"/>
        </w:rPr>
        <w:t>混合基金申购费率为1.2%，申购补差费率为0.20%。则转换所得份额为：</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转出确认金额＝100,000×1.0066＝100,660（元）</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赎回费＝100,660×0.5%＝503.3（元）</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补差费＝(100,660－503.3) ×0.20%/(1＋0.20%)＝199.91（元）</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转入确认金额＝100,660－503.3－199.91＝99,956.79（元）</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转入确认份额＝99,956.79 /1.001＝99,856.93（份）</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b/>
          <w:bCs/>
          <w:kern w:val="0"/>
          <w:sz w:val="24"/>
          <w:szCs w:val="24"/>
        </w:rPr>
        <w:t>5.2 其他与转换相关的事项</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30" w:name="t_2_5_2824_a1_fm1"/>
      <w:bookmarkEnd w:id="30"/>
      <w:r w:rsidRPr="003C4C0E">
        <w:rPr>
          <w:rFonts w:ascii="宋体" w:eastAsia="宋体" w:hAnsi="宋体" w:cs="宋体"/>
          <w:kern w:val="0"/>
          <w:sz w:val="24"/>
          <w:szCs w:val="24"/>
        </w:rPr>
        <w:t>1、基金转换只能在同一销售机构进行。转换的两只基金必须都是该销售机构代理的同一基金管理人管理的、在同一注册登记人处注册登记的基金。投资者办理基金转换业务时，转出方的基金必须处于可赎回状态，转入方的基金必须处于可申购状态。</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lastRenderedPageBreak/>
        <w:t>2、</w:t>
      </w:r>
      <w:proofErr w:type="gramStart"/>
      <w:r w:rsidRPr="003C4C0E">
        <w:rPr>
          <w:rFonts w:ascii="宋体" w:eastAsia="宋体" w:hAnsi="宋体" w:cs="宋体"/>
          <w:kern w:val="0"/>
          <w:sz w:val="24"/>
          <w:szCs w:val="24"/>
        </w:rPr>
        <w:t>汇添富优势</w:t>
      </w:r>
      <w:proofErr w:type="gramEnd"/>
      <w:r w:rsidRPr="003C4C0E">
        <w:rPr>
          <w:rFonts w:ascii="宋体" w:eastAsia="宋体" w:hAnsi="宋体" w:cs="宋体"/>
          <w:kern w:val="0"/>
          <w:sz w:val="24"/>
          <w:szCs w:val="24"/>
        </w:rPr>
        <w:t>精选混合基金、</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均衡增长混合基金、</w:t>
      </w:r>
      <w:proofErr w:type="gramStart"/>
      <w:r w:rsidRPr="003C4C0E">
        <w:rPr>
          <w:rFonts w:ascii="宋体" w:eastAsia="宋体" w:hAnsi="宋体" w:cs="宋体"/>
          <w:kern w:val="0"/>
          <w:sz w:val="24"/>
          <w:szCs w:val="24"/>
        </w:rPr>
        <w:t>汇添富成长</w:t>
      </w:r>
      <w:proofErr w:type="gramEnd"/>
      <w:r w:rsidRPr="003C4C0E">
        <w:rPr>
          <w:rFonts w:ascii="宋体" w:eastAsia="宋体" w:hAnsi="宋体" w:cs="宋体"/>
          <w:kern w:val="0"/>
          <w:sz w:val="24"/>
          <w:szCs w:val="24"/>
        </w:rPr>
        <w:t>焦点混合基金、</w:t>
      </w:r>
      <w:proofErr w:type="gramStart"/>
      <w:r w:rsidRPr="003C4C0E">
        <w:rPr>
          <w:rFonts w:ascii="宋体" w:eastAsia="宋体" w:hAnsi="宋体" w:cs="宋体"/>
          <w:kern w:val="0"/>
          <w:sz w:val="24"/>
          <w:szCs w:val="24"/>
        </w:rPr>
        <w:t>汇添富蓝</w:t>
      </w:r>
      <w:proofErr w:type="gramEnd"/>
      <w:r w:rsidRPr="003C4C0E">
        <w:rPr>
          <w:rFonts w:ascii="宋体" w:eastAsia="宋体" w:hAnsi="宋体" w:cs="宋体"/>
          <w:kern w:val="0"/>
          <w:sz w:val="24"/>
          <w:szCs w:val="24"/>
        </w:rPr>
        <w:t>筹稳健混合基金、</w:t>
      </w:r>
      <w:proofErr w:type="gramStart"/>
      <w:r w:rsidRPr="003C4C0E">
        <w:rPr>
          <w:rFonts w:ascii="宋体" w:eastAsia="宋体" w:hAnsi="宋体" w:cs="宋体"/>
          <w:kern w:val="0"/>
          <w:sz w:val="24"/>
          <w:szCs w:val="24"/>
        </w:rPr>
        <w:t>汇添富价值</w:t>
      </w:r>
      <w:proofErr w:type="gramEnd"/>
      <w:r w:rsidRPr="003C4C0E">
        <w:rPr>
          <w:rFonts w:ascii="宋体" w:eastAsia="宋体" w:hAnsi="宋体" w:cs="宋体"/>
          <w:kern w:val="0"/>
          <w:sz w:val="24"/>
          <w:szCs w:val="24"/>
        </w:rPr>
        <w:t>精选混合基金、</w:t>
      </w:r>
      <w:proofErr w:type="gramStart"/>
      <w:r w:rsidRPr="003C4C0E">
        <w:rPr>
          <w:rFonts w:ascii="宋体" w:eastAsia="宋体" w:hAnsi="宋体" w:cs="宋体"/>
          <w:kern w:val="0"/>
          <w:sz w:val="24"/>
          <w:szCs w:val="24"/>
        </w:rPr>
        <w:t>汇添富货币</w:t>
      </w:r>
      <w:proofErr w:type="gramEnd"/>
      <w:r w:rsidRPr="003C4C0E">
        <w:rPr>
          <w:rFonts w:ascii="宋体" w:eastAsia="宋体" w:hAnsi="宋体" w:cs="宋体"/>
          <w:kern w:val="0"/>
          <w:sz w:val="24"/>
          <w:szCs w:val="24"/>
        </w:rPr>
        <w:t>基金（A类、B类）、</w:t>
      </w:r>
      <w:proofErr w:type="gramStart"/>
      <w:r w:rsidRPr="003C4C0E">
        <w:rPr>
          <w:rFonts w:ascii="宋体" w:eastAsia="宋体" w:hAnsi="宋体" w:cs="宋体"/>
          <w:kern w:val="0"/>
          <w:sz w:val="24"/>
          <w:szCs w:val="24"/>
        </w:rPr>
        <w:t>汇添富增强</w:t>
      </w:r>
      <w:proofErr w:type="gramEnd"/>
      <w:r w:rsidRPr="003C4C0E">
        <w:rPr>
          <w:rFonts w:ascii="宋体" w:eastAsia="宋体" w:hAnsi="宋体" w:cs="宋体"/>
          <w:kern w:val="0"/>
          <w:sz w:val="24"/>
          <w:szCs w:val="24"/>
        </w:rPr>
        <w:t>收益债券基金A类、</w:t>
      </w:r>
      <w:proofErr w:type="gramStart"/>
      <w:r w:rsidRPr="003C4C0E">
        <w:rPr>
          <w:rFonts w:ascii="宋体" w:eastAsia="宋体" w:hAnsi="宋体" w:cs="宋体"/>
          <w:kern w:val="0"/>
          <w:sz w:val="24"/>
          <w:szCs w:val="24"/>
        </w:rPr>
        <w:t>汇添富精准医</w:t>
      </w:r>
      <w:proofErr w:type="gramEnd"/>
      <w:r w:rsidRPr="003C4C0E">
        <w:rPr>
          <w:rFonts w:ascii="宋体" w:eastAsia="宋体" w:hAnsi="宋体" w:cs="宋体"/>
          <w:kern w:val="0"/>
          <w:sz w:val="24"/>
          <w:szCs w:val="24"/>
        </w:rPr>
        <w:t>指数基金（A类场外份额、C类场外份额）、</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中证互联网医疗指数基金（A类、C类场外份额）、</w:t>
      </w:r>
      <w:proofErr w:type="gramStart"/>
      <w:r w:rsidRPr="003C4C0E">
        <w:rPr>
          <w:rFonts w:ascii="宋体" w:eastAsia="宋体" w:hAnsi="宋体" w:cs="宋体"/>
          <w:kern w:val="0"/>
          <w:sz w:val="24"/>
          <w:szCs w:val="24"/>
        </w:rPr>
        <w:t>汇添富中证环境</w:t>
      </w:r>
      <w:proofErr w:type="gramEnd"/>
      <w:r w:rsidRPr="003C4C0E">
        <w:rPr>
          <w:rFonts w:ascii="宋体" w:eastAsia="宋体" w:hAnsi="宋体" w:cs="宋体"/>
          <w:kern w:val="0"/>
          <w:sz w:val="24"/>
          <w:szCs w:val="24"/>
        </w:rPr>
        <w:t>治理指数基金（A类、C类场外份额）、</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中证生物科技指数基金（A类、C类场外份额）、</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中证中药指数基金（A类、C类场外份额）、</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中证500指数（A类、C类场外份额）、</w:t>
      </w:r>
      <w:proofErr w:type="gramStart"/>
      <w:r w:rsidRPr="003C4C0E">
        <w:rPr>
          <w:rFonts w:ascii="宋体" w:eastAsia="宋体" w:hAnsi="宋体" w:cs="宋体"/>
          <w:kern w:val="0"/>
          <w:sz w:val="24"/>
          <w:szCs w:val="24"/>
        </w:rPr>
        <w:t>汇添富沪</w:t>
      </w:r>
      <w:proofErr w:type="gramEnd"/>
      <w:r w:rsidRPr="003C4C0E">
        <w:rPr>
          <w:rFonts w:ascii="宋体" w:eastAsia="宋体" w:hAnsi="宋体" w:cs="宋体"/>
          <w:kern w:val="0"/>
          <w:sz w:val="24"/>
          <w:szCs w:val="24"/>
        </w:rPr>
        <w:t>深300指数（A类、C类场外份额）、</w:t>
      </w:r>
      <w:proofErr w:type="gramStart"/>
      <w:r w:rsidRPr="003C4C0E">
        <w:rPr>
          <w:rFonts w:ascii="宋体" w:eastAsia="宋体" w:hAnsi="宋体" w:cs="宋体"/>
          <w:kern w:val="0"/>
          <w:sz w:val="24"/>
          <w:szCs w:val="24"/>
        </w:rPr>
        <w:t>汇添富中证全</w:t>
      </w:r>
      <w:proofErr w:type="gramEnd"/>
      <w:r w:rsidRPr="003C4C0E">
        <w:rPr>
          <w:rFonts w:ascii="宋体" w:eastAsia="宋体" w:hAnsi="宋体" w:cs="宋体"/>
          <w:kern w:val="0"/>
          <w:sz w:val="24"/>
          <w:szCs w:val="24"/>
        </w:rPr>
        <w:t>指证券公司指数（LOF）(A 类、C类场外份额)、</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中证港股通高股息投资指数（LOF）（A类、C类场外份额）之间可以进行相互转换。</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3、</w:t>
      </w:r>
      <w:proofErr w:type="gramStart"/>
      <w:r w:rsidRPr="003C4C0E">
        <w:rPr>
          <w:rFonts w:ascii="宋体" w:eastAsia="宋体" w:hAnsi="宋体" w:cs="宋体"/>
          <w:kern w:val="0"/>
          <w:sz w:val="24"/>
          <w:szCs w:val="24"/>
        </w:rPr>
        <w:t>汇添富增强</w:t>
      </w:r>
      <w:proofErr w:type="gramEnd"/>
      <w:r w:rsidRPr="003C4C0E">
        <w:rPr>
          <w:rFonts w:ascii="宋体" w:eastAsia="宋体" w:hAnsi="宋体" w:cs="宋体"/>
          <w:kern w:val="0"/>
          <w:sz w:val="24"/>
          <w:szCs w:val="24"/>
        </w:rPr>
        <w:t>收益债券基金C类、</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上证综合指数基金、</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策略回报混合基金、</w:t>
      </w:r>
      <w:proofErr w:type="gramStart"/>
      <w:r w:rsidRPr="003C4C0E">
        <w:rPr>
          <w:rFonts w:ascii="宋体" w:eastAsia="宋体" w:hAnsi="宋体" w:cs="宋体"/>
          <w:kern w:val="0"/>
          <w:sz w:val="24"/>
          <w:szCs w:val="24"/>
        </w:rPr>
        <w:t>汇添富民营活力</w:t>
      </w:r>
      <w:proofErr w:type="gramEnd"/>
      <w:r w:rsidRPr="003C4C0E">
        <w:rPr>
          <w:rFonts w:ascii="宋体" w:eastAsia="宋体" w:hAnsi="宋体" w:cs="宋体"/>
          <w:kern w:val="0"/>
          <w:sz w:val="24"/>
          <w:szCs w:val="24"/>
        </w:rPr>
        <w:t>混合基金、</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医药保健混合基金、</w:t>
      </w:r>
      <w:proofErr w:type="gramStart"/>
      <w:r w:rsidRPr="003C4C0E">
        <w:rPr>
          <w:rFonts w:ascii="宋体" w:eastAsia="宋体" w:hAnsi="宋体" w:cs="宋体"/>
          <w:kern w:val="0"/>
          <w:sz w:val="24"/>
          <w:szCs w:val="24"/>
        </w:rPr>
        <w:t>汇添富双</w:t>
      </w:r>
      <w:proofErr w:type="gramEnd"/>
      <w:r w:rsidRPr="003C4C0E">
        <w:rPr>
          <w:rFonts w:ascii="宋体" w:eastAsia="宋体" w:hAnsi="宋体" w:cs="宋体"/>
          <w:kern w:val="0"/>
          <w:sz w:val="24"/>
          <w:szCs w:val="24"/>
        </w:rPr>
        <w:t>利债券基金、</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社会责任混合基金、</w:t>
      </w:r>
      <w:proofErr w:type="gramStart"/>
      <w:r w:rsidRPr="003C4C0E">
        <w:rPr>
          <w:rFonts w:ascii="宋体" w:eastAsia="宋体" w:hAnsi="宋体" w:cs="宋体"/>
          <w:kern w:val="0"/>
          <w:sz w:val="24"/>
          <w:szCs w:val="24"/>
        </w:rPr>
        <w:t>汇添富可</w:t>
      </w:r>
      <w:proofErr w:type="gramEnd"/>
      <w:r w:rsidRPr="003C4C0E">
        <w:rPr>
          <w:rFonts w:ascii="宋体" w:eastAsia="宋体" w:hAnsi="宋体" w:cs="宋体"/>
          <w:kern w:val="0"/>
          <w:sz w:val="24"/>
          <w:szCs w:val="24"/>
        </w:rPr>
        <w:t>转换债券基金、</w:t>
      </w:r>
      <w:proofErr w:type="gramStart"/>
      <w:r w:rsidRPr="003C4C0E">
        <w:rPr>
          <w:rFonts w:ascii="宋体" w:eastAsia="宋体" w:hAnsi="宋体" w:cs="宋体"/>
          <w:kern w:val="0"/>
          <w:sz w:val="24"/>
          <w:szCs w:val="24"/>
        </w:rPr>
        <w:t>汇添富深</w:t>
      </w:r>
      <w:proofErr w:type="gramEnd"/>
      <w:r w:rsidRPr="003C4C0E">
        <w:rPr>
          <w:rFonts w:ascii="宋体" w:eastAsia="宋体" w:hAnsi="宋体" w:cs="宋体"/>
          <w:kern w:val="0"/>
          <w:sz w:val="24"/>
          <w:szCs w:val="24"/>
        </w:rPr>
        <w:t>证300ETF联接基金、</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逆向投资混合基金、</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多元收益债券基金、</w:t>
      </w:r>
      <w:proofErr w:type="gramStart"/>
      <w:r w:rsidRPr="003C4C0E">
        <w:rPr>
          <w:rFonts w:ascii="宋体" w:eastAsia="宋体" w:hAnsi="宋体" w:cs="宋体"/>
          <w:kern w:val="0"/>
          <w:sz w:val="24"/>
          <w:szCs w:val="24"/>
        </w:rPr>
        <w:t>汇添富消费</w:t>
      </w:r>
      <w:proofErr w:type="gramEnd"/>
      <w:r w:rsidRPr="003C4C0E">
        <w:rPr>
          <w:rFonts w:ascii="宋体" w:eastAsia="宋体" w:hAnsi="宋体" w:cs="宋体"/>
          <w:kern w:val="0"/>
          <w:sz w:val="24"/>
          <w:szCs w:val="24"/>
        </w:rPr>
        <w:t>行业混合基金、</w:t>
      </w:r>
      <w:proofErr w:type="gramStart"/>
      <w:r w:rsidRPr="003C4C0E">
        <w:rPr>
          <w:rFonts w:ascii="宋体" w:eastAsia="宋体" w:hAnsi="宋体" w:cs="宋体"/>
          <w:kern w:val="0"/>
          <w:sz w:val="24"/>
          <w:szCs w:val="24"/>
        </w:rPr>
        <w:t>汇添富实业</w:t>
      </w:r>
      <w:proofErr w:type="gramEnd"/>
      <w:r w:rsidRPr="003C4C0E">
        <w:rPr>
          <w:rFonts w:ascii="宋体" w:eastAsia="宋体" w:hAnsi="宋体" w:cs="宋体"/>
          <w:kern w:val="0"/>
          <w:sz w:val="24"/>
          <w:szCs w:val="24"/>
        </w:rPr>
        <w:t>债债券基金、</w:t>
      </w:r>
      <w:proofErr w:type="gramStart"/>
      <w:r w:rsidRPr="003C4C0E">
        <w:rPr>
          <w:rFonts w:ascii="宋体" w:eastAsia="宋体" w:hAnsi="宋体" w:cs="宋体"/>
          <w:kern w:val="0"/>
          <w:sz w:val="24"/>
          <w:szCs w:val="24"/>
        </w:rPr>
        <w:t>汇添富美丽</w:t>
      </w:r>
      <w:proofErr w:type="gramEnd"/>
      <w:r w:rsidRPr="003C4C0E">
        <w:rPr>
          <w:rFonts w:ascii="宋体" w:eastAsia="宋体" w:hAnsi="宋体" w:cs="宋体"/>
          <w:kern w:val="0"/>
          <w:sz w:val="24"/>
          <w:szCs w:val="24"/>
        </w:rPr>
        <w:t>30混合基金、</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高息债债券基金、</w:t>
      </w:r>
      <w:proofErr w:type="gramStart"/>
      <w:r w:rsidRPr="003C4C0E">
        <w:rPr>
          <w:rFonts w:ascii="宋体" w:eastAsia="宋体" w:hAnsi="宋体" w:cs="宋体"/>
          <w:kern w:val="0"/>
          <w:sz w:val="24"/>
          <w:szCs w:val="24"/>
        </w:rPr>
        <w:t>汇添富沪</w:t>
      </w:r>
      <w:proofErr w:type="gramEnd"/>
      <w:r w:rsidRPr="003C4C0E">
        <w:rPr>
          <w:rFonts w:ascii="宋体" w:eastAsia="宋体" w:hAnsi="宋体" w:cs="宋体"/>
          <w:kern w:val="0"/>
          <w:sz w:val="24"/>
          <w:szCs w:val="24"/>
        </w:rPr>
        <w:t>深300安中指数基金、</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安心中国债券基金、</w:t>
      </w:r>
      <w:proofErr w:type="gramStart"/>
      <w:r w:rsidRPr="003C4C0E">
        <w:rPr>
          <w:rFonts w:ascii="宋体" w:eastAsia="宋体" w:hAnsi="宋体" w:cs="宋体"/>
          <w:kern w:val="0"/>
          <w:sz w:val="24"/>
          <w:szCs w:val="24"/>
        </w:rPr>
        <w:t>汇添富添富通货币</w:t>
      </w:r>
      <w:proofErr w:type="gramEnd"/>
      <w:r w:rsidRPr="003C4C0E">
        <w:rPr>
          <w:rFonts w:ascii="宋体" w:eastAsia="宋体" w:hAnsi="宋体" w:cs="宋体"/>
          <w:kern w:val="0"/>
          <w:sz w:val="24"/>
          <w:szCs w:val="24"/>
        </w:rPr>
        <w:t>基金（A类、B类）、</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移动互联股票基金、</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环保行业股票基金、</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外延增长股票基金、</w:t>
      </w:r>
      <w:proofErr w:type="gramStart"/>
      <w:r w:rsidRPr="003C4C0E">
        <w:rPr>
          <w:rFonts w:ascii="宋体" w:eastAsia="宋体" w:hAnsi="宋体" w:cs="宋体"/>
          <w:kern w:val="0"/>
          <w:sz w:val="24"/>
          <w:szCs w:val="24"/>
        </w:rPr>
        <w:t>汇添富成长多</w:t>
      </w:r>
      <w:proofErr w:type="gramEnd"/>
      <w:r w:rsidRPr="003C4C0E">
        <w:rPr>
          <w:rFonts w:ascii="宋体" w:eastAsia="宋体" w:hAnsi="宋体" w:cs="宋体"/>
          <w:kern w:val="0"/>
          <w:sz w:val="24"/>
          <w:szCs w:val="24"/>
        </w:rPr>
        <w:t>因子量化策略股票基金、</w:t>
      </w:r>
      <w:proofErr w:type="gramStart"/>
      <w:r w:rsidRPr="003C4C0E">
        <w:rPr>
          <w:rFonts w:ascii="宋体" w:eastAsia="宋体" w:hAnsi="宋体" w:cs="宋体"/>
          <w:kern w:val="0"/>
          <w:sz w:val="24"/>
          <w:szCs w:val="24"/>
        </w:rPr>
        <w:t>汇添富主要</w:t>
      </w:r>
      <w:proofErr w:type="gramEnd"/>
      <w:r w:rsidRPr="003C4C0E">
        <w:rPr>
          <w:rFonts w:ascii="宋体" w:eastAsia="宋体" w:hAnsi="宋体" w:cs="宋体"/>
          <w:kern w:val="0"/>
          <w:sz w:val="24"/>
          <w:szCs w:val="24"/>
        </w:rPr>
        <w:t>消费ETF联接基金、</w:t>
      </w:r>
      <w:proofErr w:type="gramStart"/>
      <w:r w:rsidRPr="003C4C0E">
        <w:rPr>
          <w:rFonts w:ascii="宋体" w:eastAsia="宋体" w:hAnsi="宋体" w:cs="宋体"/>
          <w:kern w:val="0"/>
          <w:sz w:val="24"/>
          <w:szCs w:val="24"/>
        </w:rPr>
        <w:t>汇添富医疗</w:t>
      </w:r>
      <w:proofErr w:type="gramEnd"/>
      <w:r w:rsidRPr="003C4C0E">
        <w:rPr>
          <w:rFonts w:ascii="宋体" w:eastAsia="宋体" w:hAnsi="宋体" w:cs="宋体"/>
          <w:kern w:val="0"/>
          <w:sz w:val="24"/>
          <w:szCs w:val="24"/>
        </w:rPr>
        <w:t>服务混合基金、</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国企创新股票基金、</w:t>
      </w:r>
      <w:proofErr w:type="gramStart"/>
      <w:r w:rsidRPr="003C4C0E">
        <w:rPr>
          <w:rFonts w:ascii="宋体" w:eastAsia="宋体" w:hAnsi="宋体" w:cs="宋体"/>
          <w:kern w:val="0"/>
          <w:sz w:val="24"/>
          <w:szCs w:val="24"/>
        </w:rPr>
        <w:t>汇添富民</w:t>
      </w:r>
      <w:proofErr w:type="gramEnd"/>
      <w:r w:rsidRPr="003C4C0E">
        <w:rPr>
          <w:rFonts w:ascii="宋体" w:eastAsia="宋体" w:hAnsi="宋体" w:cs="宋体"/>
          <w:kern w:val="0"/>
          <w:sz w:val="24"/>
          <w:szCs w:val="24"/>
        </w:rPr>
        <w:t>营新动力股票基金、</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达欣灵活配置混合基金、</w:t>
      </w:r>
      <w:proofErr w:type="gramStart"/>
      <w:r w:rsidRPr="003C4C0E">
        <w:rPr>
          <w:rFonts w:ascii="宋体" w:eastAsia="宋体" w:hAnsi="宋体" w:cs="宋体"/>
          <w:kern w:val="0"/>
          <w:sz w:val="24"/>
          <w:szCs w:val="24"/>
        </w:rPr>
        <w:t>汇添富</w:t>
      </w:r>
      <w:proofErr w:type="gramEnd"/>
      <w:r w:rsidRPr="003C4C0E">
        <w:rPr>
          <w:rFonts w:ascii="宋体" w:eastAsia="宋体" w:hAnsi="宋体" w:cs="宋体"/>
          <w:kern w:val="0"/>
          <w:sz w:val="24"/>
          <w:szCs w:val="24"/>
        </w:rPr>
        <w:t>新兴消费股票基金、</w:t>
      </w:r>
      <w:proofErr w:type="gramStart"/>
      <w:r w:rsidRPr="003C4C0E">
        <w:rPr>
          <w:rFonts w:ascii="宋体" w:eastAsia="宋体" w:hAnsi="宋体" w:cs="宋体"/>
          <w:kern w:val="0"/>
          <w:sz w:val="24"/>
          <w:szCs w:val="24"/>
        </w:rPr>
        <w:t>汇添富盈鑫</w:t>
      </w:r>
      <w:proofErr w:type="gramEnd"/>
      <w:r w:rsidRPr="003C4C0E">
        <w:rPr>
          <w:rFonts w:ascii="宋体" w:eastAsia="宋体" w:hAnsi="宋体" w:cs="宋体"/>
          <w:kern w:val="0"/>
          <w:sz w:val="24"/>
          <w:szCs w:val="24"/>
        </w:rPr>
        <w:t>混合基金、</w:t>
      </w:r>
      <w:proofErr w:type="gramStart"/>
      <w:r w:rsidRPr="003C4C0E">
        <w:rPr>
          <w:rFonts w:ascii="宋体" w:eastAsia="宋体" w:hAnsi="宋体" w:cs="宋体"/>
          <w:kern w:val="0"/>
          <w:sz w:val="24"/>
          <w:szCs w:val="24"/>
        </w:rPr>
        <w:t>汇添富盈安</w:t>
      </w:r>
      <w:proofErr w:type="gramEnd"/>
      <w:r w:rsidRPr="003C4C0E">
        <w:rPr>
          <w:rFonts w:ascii="宋体" w:eastAsia="宋体" w:hAnsi="宋体" w:cs="宋体"/>
          <w:kern w:val="0"/>
          <w:sz w:val="24"/>
          <w:szCs w:val="24"/>
        </w:rPr>
        <w:t>混合基金、</w:t>
      </w:r>
      <w:proofErr w:type="gramStart"/>
      <w:r w:rsidRPr="003C4C0E">
        <w:rPr>
          <w:rFonts w:ascii="宋体" w:eastAsia="宋体" w:hAnsi="宋体" w:cs="宋体"/>
          <w:kern w:val="0"/>
          <w:sz w:val="24"/>
          <w:szCs w:val="24"/>
        </w:rPr>
        <w:t>汇添富沪</w:t>
      </w:r>
      <w:proofErr w:type="gramEnd"/>
      <w:r w:rsidRPr="003C4C0E">
        <w:rPr>
          <w:rFonts w:ascii="宋体" w:eastAsia="宋体" w:hAnsi="宋体" w:cs="宋体"/>
          <w:kern w:val="0"/>
          <w:sz w:val="24"/>
          <w:szCs w:val="24"/>
        </w:rPr>
        <w:t>港深新价值股票基金、</w:t>
      </w:r>
      <w:proofErr w:type="gramStart"/>
      <w:r w:rsidRPr="003C4C0E">
        <w:rPr>
          <w:rFonts w:ascii="宋体" w:eastAsia="宋体" w:hAnsi="宋体" w:cs="宋体"/>
          <w:kern w:val="0"/>
          <w:sz w:val="24"/>
          <w:szCs w:val="24"/>
        </w:rPr>
        <w:t>汇添富盈稳</w:t>
      </w:r>
      <w:proofErr w:type="gramEnd"/>
      <w:r w:rsidRPr="003C4C0E">
        <w:rPr>
          <w:rFonts w:ascii="宋体" w:eastAsia="宋体" w:hAnsi="宋体" w:cs="宋体"/>
          <w:kern w:val="0"/>
          <w:sz w:val="24"/>
          <w:szCs w:val="24"/>
        </w:rPr>
        <w:t>保本混合基金、汇添富保鑫保本混合基金、上海国企ETF联接基金、汇添富新睿精选混合基金、汇添富高端制造股票、添富添福吉祥混合、汇添富盈润混合、汇添富民丰回报混合、添富港股通专注成长、添富沪港深大盘价值混合、添富行业整合混合、添富价值多因子股票、添富智能制造股票、汇添富文体娱乐混合、添富创新医药混合、汇添富双利增强债券（A类、C类）、添富短债债券、添富丰润中短债、添富消费升级混合、汇添富丰利短债、添富AAA级信用纯债（A类、C类）、添富中债1-3年国开债（A类、C类）、添富中证医药ETF联接（A类、C类）、添富中证银行ETF联接（A类、C类）、添富红利增长混合（A类、C类）、添富熙和混合（A类、C类）、汇添富90天短债（A类、B类）、汇添富中债1-3年农发债（A类、C类）、汇添富盈泰混合之间可以进行相互转换，但目前汇添富双利增强债券（A类、C类）仅开放直销柜台转入业务，汇添富添富通货币基金B类仅开放转出业务。</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4、基金持有人可将其全部或部分基金份额转换成其它基金，但单笔转换份额不得低于1份。单笔转换申请不受转入基金最低申购限额限制。</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5、转换后基金份额持有人在销售机构保留的</w:t>
      </w:r>
      <w:proofErr w:type="gramStart"/>
      <w:r w:rsidRPr="003C4C0E">
        <w:rPr>
          <w:rFonts w:ascii="宋体" w:eastAsia="宋体" w:hAnsi="宋体" w:cs="宋体"/>
          <w:kern w:val="0"/>
          <w:sz w:val="24"/>
          <w:szCs w:val="24"/>
        </w:rPr>
        <w:t>汇添富货币</w:t>
      </w:r>
      <w:proofErr w:type="gramEnd"/>
      <w:r w:rsidRPr="003C4C0E">
        <w:rPr>
          <w:rFonts w:ascii="宋体" w:eastAsia="宋体" w:hAnsi="宋体" w:cs="宋体"/>
          <w:kern w:val="0"/>
          <w:sz w:val="24"/>
          <w:szCs w:val="24"/>
        </w:rPr>
        <w:t>基金（A类、B类）、</w:t>
      </w:r>
      <w:proofErr w:type="gramStart"/>
      <w:r w:rsidRPr="003C4C0E">
        <w:rPr>
          <w:rFonts w:ascii="宋体" w:eastAsia="宋体" w:hAnsi="宋体" w:cs="宋体"/>
          <w:kern w:val="0"/>
          <w:sz w:val="24"/>
          <w:szCs w:val="24"/>
        </w:rPr>
        <w:t>添富通货币</w:t>
      </w:r>
      <w:proofErr w:type="gramEnd"/>
      <w:r w:rsidRPr="003C4C0E">
        <w:rPr>
          <w:rFonts w:ascii="宋体" w:eastAsia="宋体" w:hAnsi="宋体" w:cs="宋体"/>
          <w:kern w:val="0"/>
          <w:sz w:val="24"/>
          <w:szCs w:val="24"/>
        </w:rPr>
        <w:t>基金（A类、B类）份额不足0.01份，其他基金份额不足1份的，登记系统有权将全部剩余份额自动赎回。</w:t>
      </w:r>
    </w:p>
    <w:p w:rsidR="003C4C0E" w:rsidRPr="003C4C0E" w:rsidRDefault="003C4C0E" w:rsidP="003C4C0E">
      <w:pPr>
        <w:widowControl/>
        <w:spacing w:before="100" w:beforeAutospacing="1" w:after="100" w:afterAutospacing="1"/>
        <w:jc w:val="left"/>
        <w:outlineLvl w:val="1"/>
        <w:rPr>
          <w:rFonts w:ascii="宋体" w:eastAsia="宋体" w:hAnsi="宋体" w:cs="宋体"/>
          <w:b/>
          <w:bCs/>
          <w:kern w:val="0"/>
          <w:sz w:val="36"/>
          <w:szCs w:val="36"/>
        </w:rPr>
      </w:pPr>
      <w:r w:rsidRPr="003C4C0E">
        <w:rPr>
          <w:rFonts w:ascii="宋体" w:eastAsia="宋体" w:hAnsi="宋体" w:cs="宋体"/>
          <w:b/>
          <w:bCs/>
          <w:kern w:val="0"/>
          <w:sz w:val="36"/>
          <w:szCs w:val="36"/>
        </w:rPr>
        <w:t xml:space="preserve">6 </w:t>
      </w:r>
      <w:bookmarkStart w:id="31" w:name="t_2_6_table"/>
      <w:bookmarkEnd w:id="31"/>
      <w:r w:rsidRPr="003C4C0E">
        <w:rPr>
          <w:rFonts w:ascii="宋体" w:eastAsia="宋体" w:hAnsi="宋体" w:cs="宋体"/>
          <w:b/>
          <w:bCs/>
          <w:kern w:val="0"/>
          <w:sz w:val="36"/>
          <w:szCs w:val="36"/>
        </w:rPr>
        <w:t>定期定额投资业务</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32" w:name="t_2_6_2825_a1_fm1"/>
      <w:bookmarkEnd w:id="32"/>
      <w:r w:rsidRPr="003C4C0E">
        <w:rPr>
          <w:rFonts w:ascii="宋体" w:eastAsia="宋体" w:hAnsi="宋体" w:cs="宋体"/>
          <w:kern w:val="0"/>
          <w:sz w:val="24"/>
          <w:szCs w:val="24"/>
        </w:rPr>
        <w:lastRenderedPageBreak/>
        <w:t>1、投资者在本基金销售机构</w:t>
      </w:r>
      <w:proofErr w:type="gramStart"/>
      <w:r w:rsidRPr="003C4C0E">
        <w:rPr>
          <w:rFonts w:ascii="宋体" w:eastAsia="宋体" w:hAnsi="宋体" w:cs="宋体"/>
          <w:kern w:val="0"/>
          <w:sz w:val="24"/>
          <w:szCs w:val="24"/>
        </w:rPr>
        <w:t>办理定投业务</w:t>
      </w:r>
      <w:proofErr w:type="gramEnd"/>
      <w:r w:rsidRPr="003C4C0E">
        <w:rPr>
          <w:rFonts w:ascii="宋体" w:eastAsia="宋体" w:hAnsi="宋体" w:cs="宋体"/>
          <w:kern w:val="0"/>
          <w:sz w:val="24"/>
          <w:szCs w:val="24"/>
        </w:rPr>
        <w:t>，具体办理规则及程序请遵循各销售机构的规定。</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2、本业务受理时间与本基金日常申购业务受理时间相同。</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3、销售机构将按照投资者申请时所约定的每期约定扣款日、扣款金额进行扣款。由于销售机构关于具体扣款方式和扣款日期的规定有所不同，投资者应参照各销售机构的具体规定。</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4、投资者应与销售机构约定每期扣款金额，该金额应不低于销售机构规定的</w:t>
      </w:r>
      <w:proofErr w:type="gramStart"/>
      <w:r w:rsidRPr="003C4C0E">
        <w:rPr>
          <w:rFonts w:ascii="宋体" w:eastAsia="宋体" w:hAnsi="宋体" w:cs="宋体"/>
          <w:kern w:val="0"/>
          <w:sz w:val="24"/>
          <w:szCs w:val="24"/>
        </w:rPr>
        <w:t>最低定投金额</w:t>
      </w:r>
      <w:proofErr w:type="gramEnd"/>
      <w:r w:rsidRPr="003C4C0E">
        <w:rPr>
          <w:rFonts w:ascii="宋体" w:eastAsia="宋体" w:hAnsi="宋体" w:cs="宋体"/>
          <w:kern w:val="0"/>
          <w:sz w:val="24"/>
          <w:szCs w:val="24"/>
        </w:rPr>
        <w:t>。</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5、</w:t>
      </w:r>
      <w:proofErr w:type="gramStart"/>
      <w:r w:rsidRPr="003C4C0E">
        <w:rPr>
          <w:rFonts w:ascii="宋体" w:eastAsia="宋体" w:hAnsi="宋体" w:cs="宋体"/>
          <w:kern w:val="0"/>
          <w:sz w:val="24"/>
          <w:szCs w:val="24"/>
        </w:rPr>
        <w:t>定投业务</w:t>
      </w:r>
      <w:proofErr w:type="gramEnd"/>
      <w:r w:rsidRPr="003C4C0E">
        <w:rPr>
          <w:rFonts w:ascii="宋体" w:eastAsia="宋体" w:hAnsi="宋体" w:cs="宋体"/>
          <w:kern w:val="0"/>
          <w:sz w:val="24"/>
          <w:szCs w:val="24"/>
        </w:rPr>
        <w:t>申购费率和计费方式与日常申购业务相同。部分销售机构将开展本基金</w:t>
      </w:r>
      <w:proofErr w:type="gramStart"/>
      <w:r w:rsidRPr="003C4C0E">
        <w:rPr>
          <w:rFonts w:ascii="宋体" w:eastAsia="宋体" w:hAnsi="宋体" w:cs="宋体"/>
          <w:kern w:val="0"/>
          <w:sz w:val="24"/>
          <w:szCs w:val="24"/>
        </w:rPr>
        <w:t>的定投申购</w:t>
      </w:r>
      <w:proofErr w:type="gramEnd"/>
      <w:r w:rsidRPr="003C4C0E">
        <w:rPr>
          <w:rFonts w:ascii="宋体" w:eastAsia="宋体" w:hAnsi="宋体" w:cs="宋体"/>
          <w:kern w:val="0"/>
          <w:sz w:val="24"/>
          <w:szCs w:val="24"/>
        </w:rPr>
        <w:t>费率优惠活动，投资者应以各销售机构执行</w:t>
      </w:r>
      <w:proofErr w:type="gramStart"/>
      <w:r w:rsidRPr="003C4C0E">
        <w:rPr>
          <w:rFonts w:ascii="宋体" w:eastAsia="宋体" w:hAnsi="宋体" w:cs="宋体"/>
          <w:kern w:val="0"/>
          <w:sz w:val="24"/>
          <w:szCs w:val="24"/>
        </w:rPr>
        <w:t>的定投申购</w:t>
      </w:r>
      <w:proofErr w:type="gramEnd"/>
      <w:r w:rsidRPr="003C4C0E">
        <w:rPr>
          <w:rFonts w:ascii="宋体" w:eastAsia="宋体" w:hAnsi="宋体" w:cs="宋体"/>
          <w:kern w:val="0"/>
          <w:sz w:val="24"/>
          <w:szCs w:val="24"/>
        </w:rPr>
        <w:t>费率为准。</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6、</w:t>
      </w:r>
      <w:proofErr w:type="gramStart"/>
      <w:r w:rsidRPr="003C4C0E">
        <w:rPr>
          <w:rFonts w:ascii="宋体" w:eastAsia="宋体" w:hAnsi="宋体" w:cs="宋体"/>
          <w:kern w:val="0"/>
          <w:sz w:val="24"/>
          <w:szCs w:val="24"/>
        </w:rPr>
        <w:t>定投的</w:t>
      </w:r>
      <w:proofErr w:type="gramEnd"/>
      <w:r w:rsidRPr="003C4C0E">
        <w:rPr>
          <w:rFonts w:ascii="宋体" w:eastAsia="宋体" w:hAnsi="宋体" w:cs="宋体"/>
          <w:kern w:val="0"/>
          <w:sz w:val="24"/>
          <w:szCs w:val="24"/>
        </w:rPr>
        <w:t>实际扣款日为定投的申请日，并以该日（T日）的基金份额净值为基准计算申购份额，申购份额将在T+1工作日进行确认，投资者可在T+2日起</w:t>
      </w:r>
      <w:proofErr w:type="gramStart"/>
      <w:r w:rsidRPr="003C4C0E">
        <w:rPr>
          <w:rFonts w:ascii="宋体" w:eastAsia="宋体" w:hAnsi="宋体" w:cs="宋体"/>
          <w:kern w:val="0"/>
          <w:sz w:val="24"/>
          <w:szCs w:val="24"/>
        </w:rPr>
        <w:t>查询定投的</w:t>
      </w:r>
      <w:proofErr w:type="gramEnd"/>
      <w:r w:rsidRPr="003C4C0E">
        <w:rPr>
          <w:rFonts w:ascii="宋体" w:eastAsia="宋体" w:hAnsi="宋体" w:cs="宋体"/>
          <w:kern w:val="0"/>
          <w:sz w:val="24"/>
          <w:szCs w:val="24"/>
        </w:rPr>
        <w:t>确认情况。</w:t>
      </w:r>
    </w:p>
    <w:p w:rsidR="003C4C0E" w:rsidRPr="003C4C0E" w:rsidRDefault="003C4C0E" w:rsidP="003C4C0E">
      <w:pPr>
        <w:widowControl/>
        <w:spacing w:before="100" w:beforeAutospacing="1" w:after="100" w:afterAutospacing="1"/>
        <w:jc w:val="left"/>
        <w:outlineLvl w:val="1"/>
        <w:rPr>
          <w:rFonts w:ascii="宋体" w:eastAsia="宋体" w:hAnsi="宋体" w:cs="宋体"/>
          <w:b/>
          <w:bCs/>
          <w:kern w:val="0"/>
          <w:sz w:val="36"/>
          <w:szCs w:val="36"/>
        </w:rPr>
      </w:pPr>
      <w:r w:rsidRPr="003C4C0E">
        <w:rPr>
          <w:rFonts w:ascii="宋体" w:eastAsia="宋体" w:hAnsi="宋体" w:cs="宋体"/>
          <w:b/>
          <w:bCs/>
          <w:kern w:val="0"/>
          <w:sz w:val="36"/>
          <w:szCs w:val="36"/>
        </w:rPr>
        <w:t>7 基金销售机构</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b/>
          <w:bCs/>
          <w:kern w:val="0"/>
          <w:sz w:val="24"/>
          <w:szCs w:val="24"/>
        </w:rPr>
        <w:t>7.1</w:t>
      </w:r>
      <w:bookmarkStart w:id="33" w:name="t_2_7_table"/>
      <w:bookmarkEnd w:id="33"/>
      <w:r w:rsidRPr="003C4C0E">
        <w:rPr>
          <w:rFonts w:ascii="宋体" w:eastAsia="宋体" w:hAnsi="宋体" w:cs="宋体"/>
          <w:b/>
          <w:bCs/>
          <w:kern w:val="0"/>
          <w:sz w:val="24"/>
          <w:szCs w:val="24"/>
        </w:rPr>
        <w:t xml:space="preserve"> 场外销售机构</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b/>
          <w:bCs/>
          <w:kern w:val="0"/>
          <w:sz w:val="24"/>
          <w:szCs w:val="24"/>
        </w:rPr>
        <w:t>7.1.1 直销机构</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34" w:name="t_2_7_2833_a1_fm1"/>
      <w:bookmarkEnd w:id="34"/>
      <w:proofErr w:type="gramStart"/>
      <w:r w:rsidRPr="003C4C0E">
        <w:rPr>
          <w:rFonts w:ascii="宋体" w:eastAsia="宋体" w:hAnsi="宋体" w:cs="宋体"/>
          <w:kern w:val="0"/>
          <w:sz w:val="24"/>
          <w:szCs w:val="24"/>
        </w:rPr>
        <w:t>汇添富基金</w:t>
      </w:r>
      <w:proofErr w:type="gramEnd"/>
      <w:r w:rsidRPr="003C4C0E">
        <w:rPr>
          <w:rFonts w:ascii="宋体" w:eastAsia="宋体" w:hAnsi="宋体" w:cs="宋体"/>
          <w:kern w:val="0"/>
          <w:sz w:val="24"/>
          <w:szCs w:val="24"/>
        </w:rPr>
        <w:t>管理股份有限公司直销中心办理本基金的申购、赎回、转换业务，不办理本基金</w:t>
      </w:r>
      <w:proofErr w:type="gramStart"/>
      <w:r w:rsidRPr="003C4C0E">
        <w:rPr>
          <w:rFonts w:ascii="宋体" w:eastAsia="宋体" w:hAnsi="宋体" w:cs="宋体"/>
          <w:kern w:val="0"/>
          <w:sz w:val="24"/>
          <w:szCs w:val="24"/>
        </w:rPr>
        <w:t>的定投业务</w:t>
      </w:r>
      <w:proofErr w:type="gramEnd"/>
      <w:r w:rsidRPr="003C4C0E">
        <w:rPr>
          <w:rFonts w:ascii="宋体" w:eastAsia="宋体" w:hAnsi="宋体" w:cs="宋体"/>
          <w:kern w:val="0"/>
          <w:sz w:val="24"/>
          <w:szCs w:val="24"/>
        </w:rPr>
        <w:t>。</w:t>
      </w:r>
      <w:proofErr w:type="gramStart"/>
      <w:r w:rsidRPr="003C4C0E">
        <w:rPr>
          <w:rFonts w:ascii="宋体" w:eastAsia="宋体" w:hAnsi="宋体" w:cs="宋体"/>
          <w:kern w:val="0"/>
          <w:sz w:val="24"/>
          <w:szCs w:val="24"/>
        </w:rPr>
        <w:t>汇添富基金</w:t>
      </w:r>
      <w:proofErr w:type="gramEnd"/>
      <w:r w:rsidRPr="003C4C0E">
        <w:rPr>
          <w:rFonts w:ascii="宋体" w:eastAsia="宋体" w:hAnsi="宋体" w:cs="宋体"/>
          <w:kern w:val="0"/>
          <w:sz w:val="24"/>
          <w:szCs w:val="24"/>
        </w:rPr>
        <w:t>管理股份有限公司网上直销系统（trade.99fund.com）办理本基金的申购、赎回、转换、</w:t>
      </w:r>
      <w:proofErr w:type="gramStart"/>
      <w:r w:rsidRPr="003C4C0E">
        <w:rPr>
          <w:rFonts w:ascii="宋体" w:eastAsia="宋体" w:hAnsi="宋体" w:cs="宋体"/>
          <w:kern w:val="0"/>
          <w:sz w:val="24"/>
          <w:szCs w:val="24"/>
        </w:rPr>
        <w:t>定投业务</w:t>
      </w:r>
      <w:proofErr w:type="gramEnd"/>
      <w:r w:rsidRPr="003C4C0E">
        <w:rPr>
          <w:rFonts w:ascii="宋体" w:eastAsia="宋体" w:hAnsi="宋体" w:cs="宋体"/>
          <w:kern w:val="0"/>
          <w:sz w:val="24"/>
          <w:szCs w:val="24"/>
        </w:rPr>
        <w:t>。</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b/>
          <w:bCs/>
          <w:kern w:val="0"/>
          <w:sz w:val="24"/>
          <w:szCs w:val="24"/>
        </w:rPr>
        <w:t>7.1.2 场外代销机构</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35" w:name="t_2_7_2834_a1_fm1"/>
      <w:bookmarkEnd w:id="35"/>
      <w:r w:rsidRPr="003C4C0E">
        <w:rPr>
          <w:rFonts w:ascii="宋体" w:eastAsia="宋体" w:hAnsi="宋体" w:cs="宋体"/>
          <w:b/>
          <w:bCs/>
          <w:kern w:val="0"/>
          <w:sz w:val="24"/>
          <w:szCs w:val="24"/>
        </w:rPr>
        <w:t>1)办理本基金申购、赎回的代销机构</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6"/>
        <w:gridCol w:w="1950"/>
        <w:gridCol w:w="1770"/>
        <w:gridCol w:w="1510"/>
        <w:gridCol w:w="1510"/>
      </w:tblGrid>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工商银行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鹿城农商行</w:t>
            </w:r>
            <w:proofErr w:type="gramEnd"/>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w:t>
            </w:r>
            <w:proofErr w:type="gramStart"/>
            <w:r w:rsidRPr="003C4C0E">
              <w:rPr>
                <w:rFonts w:ascii="宋体" w:eastAsia="宋体" w:hAnsi="宋体" w:cs="宋体"/>
                <w:kern w:val="0"/>
                <w:sz w:val="24"/>
                <w:szCs w:val="24"/>
              </w:rPr>
              <w:t>龙证券</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中原证券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蛋卷基金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农业银行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龙江银行</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华融证券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鑫</w:t>
            </w:r>
            <w:proofErr w:type="gramEnd"/>
            <w:r w:rsidRPr="003C4C0E">
              <w:rPr>
                <w:rFonts w:ascii="宋体" w:eastAsia="宋体" w:hAnsi="宋体" w:cs="宋体"/>
                <w:kern w:val="0"/>
                <w:sz w:val="24"/>
                <w:szCs w:val="24"/>
              </w:rPr>
              <w:t>鼎盛</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一路财富</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中国银行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乐清农商行</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华泰证券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上海长量</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中证金牛</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建设银行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中原银行</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华鑫证券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展恒理财</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凯</w:t>
            </w:r>
            <w:proofErr w:type="gramEnd"/>
            <w:r w:rsidRPr="003C4C0E">
              <w:rPr>
                <w:rFonts w:ascii="宋体" w:eastAsia="宋体" w:hAnsi="宋体" w:cs="宋体"/>
                <w:kern w:val="0"/>
                <w:sz w:val="24"/>
                <w:szCs w:val="24"/>
              </w:rPr>
              <w:t>石财富</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交通银行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爱建证券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江海证券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中期时代</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和讯信息</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招商银行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安信证券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金元证券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嘉实财富</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好买基金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中信银行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渤海证券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九州证券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泛</w:t>
            </w:r>
            <w:proofErr w:type="gramStart"/>
            <w:r w:rsidRPr="003C4C0E">
              <w:rPr>
                <w:rFonts w:ascii="宋体" w:eastAsia="宋体" w:hAnsi="宋体" w:cs="宋体"/>
                <w:kern w:val="0"/>
                <w:sz w:val="24"/>
                <w:szCs w:val="24"/>
              </w:rPr>
              <w:t>华普益</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肯特瑞</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浦发银行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财达证券</w:t>
            </w:r>
            <w:proofErr w:type="gramEnd"/>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开源证券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宜信普泽</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基</w:t>
            </w:r>
            <w:proofErr w:type="gramStart"/>
            <w:r w:rsidRPr="003C4C0E">
              <w:rPr>
                <w:rFonts w:ascii="宋体" w:eastAsia="宋体" w:hAnsi="宋体" w:cs="宋体"/>
                <w:kern w:val="0"/>
                <w:sz w:val="24"/>
                <w:szCs w:val="24"/>
              </w:rPr>
              <w:t>煜</w:t>
            </w:r>
            <w:proofErr w:type="gramEnd"/>
            <w:r w:rsidRPr="003C4C0E">
              <w:rPr>
                <w:rFonts w:ascii="宋体" w:eastAsia="宋体" w:hAnsi="宋体" w:cs="宋体"/>
                <w:kern w:val="0"/>
                <w:sz w:val="24"/>
                <w:szCs w:val="24"/>
              </w:rPr>
              <w:t>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兴业银行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财富里昂</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联储证券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浦领基金</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天天基金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民生银行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财富证券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联</w:t>
            </w:r>
            <w:proofErr w:type="gramStart"/>
            <w:r w:rsidRPr="003C4C0E">
              <w:rPr>
                <w:rFonts w:ascii="宋体" w:eastAsia="宋体" w:hAnsi="宋体" w:cs="宋体"/>
                <w:kern w:val="0"/>
                <w:sz w:val="24"/>
                <w:szCs w:val="24"/>
              </w:rPr>
              <w:t>讯证券</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增财基金</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利得基金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lastRenderedPageBreak/>
              <w:t>邮储银行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财通证券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平安证券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恒</w:t>
            </w:r>
            <w:proofErr w:type="gramEnd"/>
            <w:r w:rsidRPr="003C4C0E">
              <w:rPr>
                <w:rFonts w:ascii="宋体" w:eastAsia="宋体" w:hAnsi="宋体" w:cs="宋体"/>
                <w:kern w:val="0"/>
                <w:sz w:val="24"/>
                <w:szCs w:val="24"/>
              </w:rPr>
              <w:t>天明泽</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盈米基金</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上海银行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长城证券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山西证券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钱景基金</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w:t>
            </w:r>
            <w:proofErr w:type="gramStart"/>
            <w:r w:rsidRPr="003C4C0E">
              <w:rPr>
                <w:rFonts w:ascii="宋体" w:eastAsia="宋体" w:hAnsi="宋体" w:cs="宋体"/>
                <w:kern w:val="0"/>
                <w:sz w:val="24"/>
                <w:szCs w:val="24"/>
              </w:rPr>
              <w:t>美基金</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广发银行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长江证券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上海证券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海</w:t>
            </w:r>
            <w:proofErr w:type="gramStart"/>
            <w:r w:rsidRPr="003C4C0E">
              <w:rPr>
                <w:rFonts w:ascii="宋体" w:eastAsia="宋体" w:hAnsi="宋体" w:cs="宋体"/>
                <w:kern w:val="0"/>
                <w:sz w:val="24"/>
                <w:szCs w:val="24"/>
              </w:rPr>
              <w:t>银基金</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万得基金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平安银行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大同证券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申万宏源西部证券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辉</w:t>
            </w:r>
            <w:proofErr w:type="gramStart"/>
            <w:r w:rsidRPr="003C4C0E">
              <w:rPr>
                <w:rFonts w:ascii="宋体" w:eastAsia="宋体" w:hAnsi="宋体" w:cs="宋体"/>
                <w:kern w:val="0"/>
                <w:sz w:val="24"/>
                <w:szCs w:val="24"/>
              </w:rPr>
              <w:t>腾汇富</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众禄基金</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宁波银行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德</w:t>
            </w:r>
            <w:proofErr w:type="gramStart"/>
            <w:r w:rsidRPr="003C4C0E">
              <w:rPr>
                <w:rFonts w:ascii="宋体" w:eastAsia="宋体" w:hAnsi="宋体" w:cs="宋体"/>
                <w:kern w:val="0"/>
                <w:sz w:val="24"/>
                <w:szCs w:val="24"/>
              </w:rPr>
              <w:t>邦</w:t>
            </w:r>
            <w:proofErr w:type="gramEnd"/>
            <w:r w:rsidRPr="003C4C0E">
              <w:rPr>
                <w:rFonts w:ascii="宋体" w:eastAsia="宋体" w:hAnsi="宋体" w:cs="宋体"/>
                <w:kern w:val="0"/>
                <w:sz w:val="24"/>
                <w:szCs w:val="24"/>
              </w:rPr>
              <w:t>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申万宏</w:t>
            </w:r>
            <w:proofErr w:type="gramStart"/>
            <w:r w:rsidRPr="003C4C0E">
              <w:rPr>
                <w:rFonts w:ascii="宋体" w:eastAsia="宋体" w:hAnsi="宋体" w:cs="宋体"/>
                <w:kern w:val="0"/>
                <w:sz w:val="24"/>
                <w:szCs w:val="24"/>
              </w:rPr>
              <w:t>源证券</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佳泓基金</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奕丰金融</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上海农商行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第一创业证券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世纪证券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泰诚财富</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虹点基金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杭州银行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东北证券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太平洋证券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w:t>
            </w:r>
            <w:proofErr w:type="gramStart"/>
            <w:r w:rsidRPr="003C4C0E">
              <w:rPr>
                <w:rFonts w:ascii="宋体" w:eastAsia="宋体" w:hAnsi="宋体" w:cs="宋体"/>
                <w:kern w:val="0"/>
                <w:sz w:val="24"/>
                <w:szCs w:val="24"/>
              </w:rPr>
              <w:t>信建投期货</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新</w:t>
            </w:r>
            <w:proofErr w:type="gramStart"/>
            <w:r w:rsidRPr="003C4C0E">
              <w:rPr>
                <w:rFonts w:ascii="宋体" w:eastAsia="宋体" w:hAnsi="宋体" w:cs="宋体"/>
                <w:kern w:val="0"/>
                <w:sz w:val="24"/>
                <w:szCs w:val="24"/>
              </w:rPr>
              <w:t>浪基金</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江苏银行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东方证券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万联证券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中信期货</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和耕传承</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渤海银行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东海证券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五</w:t>
            </w:r>
            <w:proofErr w:type="gramStart"/>
            <w:r w:rsidRPr="003C4C0E">
              <w:rPr>
                <w:rFonts w:ascii="宋体" w:eastAsia="宋体" w:hAnsi="宋体" w:cs="宋体"/>
                <w:kern w:val="0"/>
                <w:sz w:val="24"/>
                <w:szCs w:val="24"/>
              </w:rPr>
              <w:t>矿证券</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徽商期货</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富济基金</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哈尔滨银行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东吴证券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西部证券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东证期货</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挖财基金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东莞农商行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东兴证券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西藏东方财富</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弘业期货</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电盈基金</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重庆农商行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方正证券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西南证券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阳光人寿</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深圳腾元</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西安银行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光大证券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湘财证券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深圳新兰德</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百度百盈</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金华银行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国都证券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新时代证券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汇成基金</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大智慧基金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江南农商行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国海证券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信</w:t>
            </w:r>
            <w:proofErr w:type="gramStart"/>
            <w:r w:rsidRPr="003C4C0E">
              <w:rPr>
                <w:rFonts w:ascii="宋体" w:eastAsia="宋体" w:hAnsi="宋体" w:cs="宋体"/>
                <w:kern w:val="0"/>
                <w:sz w:val="24"/>
                <w:szCs w:val="24"/>
              </w:rPr>
              <w:t>达证券</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伯嘉基金</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朝阳永续</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包商银行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国金证券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兴业证券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创金启富</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洪泰财富</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苏州银行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国联证券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银河证券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联泰基金</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有鱼基金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杭州联合银行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国融证券</w:t>
            </w:r>
            <w:proofErr w:type="gramEnd"/>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招商证券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中民财富</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云湾基金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晋商银行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国泰君安</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浙商证券</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诺亚正行</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中正达广</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富</w:t>
            </w:r>
            <w:proofErr w:type="gramStart"/>
            <w:r w:rsidRPr="003C4C0E">
              <w:rPr>
                <w:rFonts w:ascii="宋体" w:eastAsia="宋体" w:hAnsi="宋体" w:cs="宋体"/>
                <w:kern w:val="0"/>
                <w:sz w:val="24"/>
                <w:szCs w:val="24"/>
              </w:rPr>
              <w:t>滇银行</w:t>
            </w:r>
            <w:proofErr w:type="gramEnd"/>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国元证券</w:t>
            </w:r>
            <w:proofErr w:type="gramEnd"/>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中航证券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陆基金</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钜</w:t>
            </w:r>
            <w:proofErr w:type="gramEnd"/>
            <w:r w:rsidRPr="003C4C0E">
              <w:rPr>
                <w:rFonts w:ascii="宋体" w:eastAsia="宋体" w:hAnsi="宋体" w:cs="宋体"/>
                <w:kern w:val="0"/>
                <w:sz w:val="24"/>
                <w:szCs w:val="24"/>
              </w:rPr>
              <w:t>派</w:t>
            </w:r>
            <w:proofErr w:type="gramStart"/>
            <w:r w:rsidRPr="003C4C0E">
              <w:rPr>
                <w:rFonts w:ascii="宋体" w:eastAsia="宋体" w:hAnsi="宋体" w:cs="宋体"/>
                <w:kern w:val="0"/>
                <w:sz w:val="24"/>
                <w:szCs w:val="24"/>
              </w:rPr>
              <w:t>钰</w:t>
            </w:r>
            <w:proofErr w:type="gramEnd"/>
            <w:r w:rsidRPr="003C4C0E">
              <w:rPr>
                <w:rFonts w:ascii="宋体" w:eastAsia="宋体" w:hAnsi="宋体" w:cs="宋体"/>
                <w:kern w:val="0"/>
                <w:sz w:val="24"/>
                <w:szCs w:val="24"/>
              </w:rPr>
              <w:t>茂</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恒丰银行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海通证券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中金公司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蚂蚁基金</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途牛金服</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瑞丰农商行</w:t>
            </w:r>
            <w:proofErr w:type="gramEnd"/>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恒泰证券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中泰证券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乾道盈泰</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汇付基金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龙湾农商行</w:t>
            </w:r>
            <w:proofErr w:type="gramEnd"/>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红</w:t>
            </w:r>
            <w:proofErr w:type="gramStart"/>
            <w:r w:rsidRPr="003C4C0E">
              <w:rPr>
                <w:rFonts w:ascii="宋体" w:eastAsia="宋体" w:hAnsi="宋体" w:cs="宋体"/>
                <w:kern w:val="0"/>
                <w:sz w:val="24"/>
                <w:szCs w:val="24"/>
              </w:rPr>
              <w:t>塔证券</w:t>
            </w:r>
            <w:proofErr w:type="gramEnd"/>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w:t>
            </w:r>
            <w:proofErr w:type="gramStart"/>
            <w:r w:rsidRPr="003C4C0E">
              <w:rPr>
                <w:rFonts w:ascii="宋体" w:eastAsia="宋体" w:hAnsi="宋体" w:cs="宋体"/>
                <w:kern w:val="0"/>
                <w:sz w:val="24"/>
                <w:szCs w:val="24"/>
              </w:rPr>
              <w:t>天证券</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微众银行</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晟</w:t>
            </w:r>
            <w:proofErr w:type="gramEnd"/>
            <w:r w:rsidRPr="003C4C0E">
              <w:rPr>
                <w:rFonts w:ascii="宋体" w:eastAsia="宋体" w:hAnsi="宋体" w:cs="宋体"/>
                <w:kern w:val="0"/>
                <w:sz w:val="24"/>
                <w:szCs w:val="24"/>
              </w:rPr>
              <w:t xml:space="preserve">视天下 </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泉州银行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华安证券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中投证券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凤凰金</w:t>
            </w:r>
            <w:proofErr w:type="gramEnd"/>
            <w:r w:rsidRPr="003C4C0E">
              <w:rPr>
                <w:rFonts w:ascii="宋体" w:eastAsia="宋体" w:hAnsi="宋体" w:cs="宋体"/>
                <w:kern w:val="0"/>
                <w:sz w:val="24"/>
                <w:szCs w:val="24"/>
              </w:rPr>
              <w:t>信</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国信嘉利</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锦州银行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w:t>
            </w:r>
            <w:proofErr w:type="gramStart"/>
            <w:r w:rsidRPr="003C4C0E">
              <w:rPr>
                <w:rFonts w:ascii="宋体" w:eastAsia="宋体" w:hAnsi="宋体" w:cs="宋体"/>
                <w:kern w:val="0"/>
                <w:sz w:val="24"/>
                <w:szCs w:val="24"/>
              </w:rPr>
              <w:t>宝证券</w:t>
            </w:r>
            <w:proofErr w:type="gramEnd"/>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w:t>
            </w:r>
            <w:proofErr w:type="gramStart"/>
            <w:r w:rsidRPr="003C4C0E">
              <w:rPr>
                <w:rFonts w:ascii="宋体" w:eastAsia="宋体" w:hAnsi="宋体" w:cs="宋体"/>
                <w:kern w:val="0"/>
                <w:sz w:val="24"/>
                <w:szCs w:val="24"/>
              </w:rPr>
              <w:t>信建投</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同花顺</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前海财厚</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长春农商行</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华福证券</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中信证券</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浙商银行</w:t>
            </w:r>
            <w:proofErr w:type="gramEnd"/>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汇林保大</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华林证券</w:t>
            </w:r>
          </w:p>
        </w:tc>
        <w:tc>
          <w:tcPr>
            <w:tcW w:w="1000" w:type="pct"/>
            <w:tcBorders>
              <w:top w:val="outset" w:sz="6" w:space="0" w:color="auto"/>
              <w:left w:val="outset" w:sz="6" w:space="0" w:color="auto"/>
              <w:bottom w:val="outset" w:sz="6" w:space="0" w:color="auto"/>
              <w:right w:val="outset" w:sz="6" w:space="0" w:color="auto"/>
            </w:tcBorders>
            <w:noWrap/>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中信证券（山东）</w:t>
            </w:r>
          </w:p>
        </w:tc>
        <w:tc>
          <w:tcPr>
            <w:tcW w:w="105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苏宁基金</w:t>
            </w: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jc w:val="left"/>
              <w:rPr>
                <w:rFonts w:ascii="宋体" w:eastAsia="宋体" w:hAnsi="宋体" w:cs="宋体"/>
                <w:kern w:val="0"/>
                <w:sz w:val="24"/>
                <w:szCs w:val="24"/>
              </w:rPr>
            </w:pPr>
          </w:p>
        </w:tc>
        <w:tc>
          <w:tcPr>
            <w:tcW w:w="900" w:type="pct"/>
            <w:tcBorders>
              <w:top w:val="outset" w:sz="6" w:space="0" w:color="auto"/>
              <w:left w:val="outset" w:sz="6" w:space="0" w:color="auto"/>
              <w:bottom w:val="outset" w:sz="6" w:space="0" w:color="auto"/>
              <w:right w:val="outset" w:sz="6" w:space="0" w:color="auto"/>
            </w:tcBorders>
            <w:hideMark/>
          </w:tcPr>
          <w:p w:rsidR="003C4C0E" w:rsidRPr="003C4C0E" w:rsidRDefault="003C4C0E" w:rsidP="003C4C0E">
            <w:pPr>
              <w:widowControl/>
              <w:jc w:val="left"/>
              <w:rPr>
                <w:rFonts w:ascii="宋体" w:eastAsia="宋体" w:hAnsi="宋体" w:cs="宋体"/>
                <w:kern w:val="0"/>
                <w:sz w:val="24"/>
                <w:szCs w:val="24"/>
              </w:rPr>
            </w:pPr>
          </w:p>
        </w:tc>
      </w:tr>
    </w:tbl>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 xml:space="preserve">                                                                                                                     </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36" w:name="t_2_7_2835_a1_fm1"/>
      <w:bookmarkEnd w:id="36"/>
      <w:r w:rsidRPr="003C4C0E">
        <w:rPr>
          <w:rFonts w:ascii="宋体" w:eastAsia="宋体" w:hAnsi="宋体" w:cs="宋体"/>
          <w:b/>
          <w:bCs/>
          <w:kern w:val="0"/>
          <w:sz w:val="24"/>
          <w:szCs w:val="24"/>
        </w:rPr>
        <w:t>2)办理本基金转换的代销机构</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0"/>
        <w:gridCol w:w="1470"/>
        <w:gridCol w:w="1865"/>
        <w:gridCol w:w="1695"/>
        <w:gridCol w:w="1696"/>
      </w:tblGrid>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工商银行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恒丰银行</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国泰君安</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中信证券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同花顺</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农业银行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瑞丰农商行</w:t>
            </w:r>
            <w:proofErr w:type="gramEnd"/>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海通证券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中信证券（山东）</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浙商银行</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中国银行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龙湾农商行</w:t>
            </w:r>
            <w:proofErr w:type="gramEnd"/>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恒泰证券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中原证券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苏宁基金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建设银行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泉州银行</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华安证券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鑫</w:t>
            </w:r>
            <w:proofErr w:type="gramEnd"/>
            <w:r w:rsidRPr="003C4C0E">
              <w:rPr>
                <w:rFonts w:ascii="宋体" w:eastAsia="宋体" w:hAnsi="宋体" w:cs="宋体"/>
                <w:kern w:val="0"/>
                <w:sz w:val="24"/>
                <w:szCs w:val="24"/>
              </w:rPr>
              <w:t>鼎盛</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蛋卷基金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lastRenderedPageBreak/>
              <w:t>交通银行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锦州银行</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w:t>
            </w:r>
            <w:proofErr w:type="gramStart"/>
            <w:r w:rsidRPr="003C4C0E">
              <w:rPr>
                <w:rFonts w:ascii="宋体" w:eastAsia="宋体" w:hAnsi="宋体" w:cs="宋体"/>
                <w:kern w:val="0"/>
                <w:sz w:val="24"/>
                <w:szCs w:val="24"/>
              </w:rPr>
              <w:t>宝证券</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上海长量</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一路财富</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招商银行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长春农商行</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华福证券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展恒理财</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中证金牛</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中信银行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鹿城农商行</w:t>
            </w:r>
            <w:proofErr w:type="gramEnd"/>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w:t>
            </w:r>
            <w:proofErr w:type="gramStart"/>
            <w:r w:rsidRPr="003C4C0E">
              <w:rPr>
                <w:rFonts w:ascii="宋体" w:eastAsia="宋体" w:hAnsi="宋体" w:cs="宋体"/>
                <w:kern w:val="0"/>
                <w:sz w:val="24"/>
                <w:szCs w:val="24"/>
              </w:rPr>
              <w:t>龙证券</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中期时代</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凯</w:t>
            </w:r>
            <w:proofErr w:type="gramEnd"/>
            <w:r w:rsidRPr="003C4C0E">
              <w:rPr>
                <w:rFonts w:ascii="宋体" w:eastAsia="宋体" w:hAnsi="宋体" w:cs="宋体"/>
                <w:kern w:val="0"/>
                <w:sz w:val="24"/>
                <w:szCs w:val="24"/>
              </w:rPr>
              <w:t>石财富</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浦发银行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龙江银行</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华融证券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泛</w:t>
            </w:r>
            <w:proofErr w:type="gramStart"/>
            <w:r w:rsidRPr="003C4C0E">
              <w:rPr>
                <w:rFonts w:ascii="宋体" w:eastAsia="宋体" w:hAnsi="宋体" w:cs="宋体"/>
                <w:kern w:val="0"/>
                <w:sz w:val="24"/>
                <w:szCs w:val="24"/>
              </w:rPr>
              <w:t>华普益</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和讯信息</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兴业银行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乐清农商行</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华鑫证券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宜信普泽</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好买基金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民生银行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中原银行</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江海证券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浦领基金</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肯特瑞</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邮储银行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爱建证券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开源证券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增财基金</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基</w:t>
            </w:r>
            <w:proofErr w:type="gramStart"/>
            <w:r w:rsidRPr="003C4C0E">
              <w:rPr>
                <w:rFonts w:ascii="宋体" w:eastAsia="宋体" w:hAnsi="宋体" w:cs="宋体"/>
                <w:kern w:val="0"/>
                <w:sz w:val="24"/>
                <w:szCs w:val="24"/>
              </w:rPr>
              <w:t>煜</w:t>
            </w:r>
            <w:proofErr w:type="gramEnd"/>
            <w:r w:rsidRPr="003C4C0E">
              <w:rPr>
                <w:rFonts w:ascii="宋体" w:eastAsia="宋体" w:hAnsi="宋体" w:cs="宋体"/>
                <w:kern w:val="0"/>
                <w:sz w:val="24"/>
                <w:szCs w:val="24"/>
              </w:rPr>
              <w:t>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上海银行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安信证券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联储证券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钱景基金</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天天基金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广发银行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渤海证券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联</w:t>
            </w:r>
            <w:proofErr w:type="gramStart"/>
            <w:r w:rsidRPr="003C4C0E">
              <w:rPr>
                <w:rFonts w:ascii="宋体" w:eastAsia="宋体" w:hAnsi="宋体" w:cs="宋体"/>
                <w:kern w:val="0"/>
                <w:sz w:val="24"/>
                <w:szCs w:val="24"/>
              </w:rPr>
              <w:t>讯证券</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海</w:t>
            </w:r>
            <w:proofErr w:type="gramStart"/>
            <w:r w:rsidRPr="003C4C0E">
              <w:rPr>
                <w:rFonts w:ascii="宋体" w:eastAsia="宋体" w:hAnsi="宋体" w:cs="宋体"/>
                <w:kern w:val="0"/>
                <w:sz w:val="24"/>
                <w:szCs w:val="24"/>
              </w:rPr>
              <w:t>银基金</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利得基金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平安银行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财富证券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平安证券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佳泓基金</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盈米基金</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宁波银行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财通证券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申万宏源西部证券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泰诚财富</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w:t>
            </w:r>
            <w:proofErr w:type="gramStart"/>
            <w:r w:rsidRPr="003C4C0E">
              <w:rPr>
                <w:rFonts w:ascii="宋体" w:eastAsia="宋体" w:hAnsi="宋体" w:cs="宋体"/>
                <w:kern w:val="0"/>
                <w:sz w:val="24"/>
                <w:szCs w:val="24"/>
              </w:rPr>
              <w:t>美基金</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上海农商行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长江证券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申万宏</w:t>
            </w:r>
            <w:proofErr w:type="gramStart"/>
            <w:r w:rsidRPr="003C4C0E">
              <w:rPr>
                <w:rFonts w:ascii="宋体" w:eastAsia="宋体" w:hAnsi="宋体" w:cs="宋体"/>
                <w:kern w:val="0"/>
                <w:sz w:val="24"/>
                <w:szCs w:val="24"/>
              </w:rPr>
              <w:t>源证券</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w:t>
            </w:r>
            <w:proofErr w:type="gramStart"/>
            <w:r w:rsidRPr="003C4C0E">
              <w:rPr>
                <w:rFonts w:ascii="宋体" w:eastAsia="宋体" w:hAnsi="宋体" w:cs="宋体"/>
                <w:kern w:val="0"/>
                <w:sz w:val="24"/>
                <w:szCs w:val="24"/>
              </w:rPr>
              <w:t>信建投期货</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万得基金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杭州银行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大同证券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世纪证券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中信期货</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众禄基金</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江苏银行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德</w:t>
            </w:r>
            <w:proofErr w:type="gramStart"/>
            <w:r w:rsidRPr="003C4C0E">
              <w:rPr>
                <w:rFonts w:ascii="宋体" w:eastAsia="宋体" w:hAnsi="宋体" w:cs="宋体"/>
                <w:kern w:val="0"/>
                <w:sz w:val="24"/>
                <w:szCs w:val="24"/>
              </w:rPr>
              <w:t>邦</w:t>
            </w:r>
            <w:proofErr w:type="gramEnd"/>
            <w:r w:rsidRPr="003C4C0E">
              <w:rPr>
                <w:rFonts w:ascii="宋体" w:eastAsia="宋体" w:hAnsi="宋体" w:cs="宋体"/>
                <w:kern w:val="0"/>
                <w:sz w:val="24"/>
                <w:szCs w:val="24"/>
              </w:rPr>
              <w:t>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西南证券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徽商期货</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奕丰金融</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渤海银行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第一创业证券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湘财证券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东证期货</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虹点基金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哈尔滨银行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东北证券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信</w:t>
            </w:r>
            <w:proofErr w:type="gramStart"/>
            <w:r w:rsidRPr="003C4C0E">
              <w:rPr>
                <w:rFonts w:ascii="宋体" w:eastAsia="宋体" w:hAnsi="宋体" w:cs="宋体"/>
                <w:kern w:val="0"/>
                <w:sz w:val="24"/>
                <w:szCs w:val="24"/>
              </w:rPr>
              <w:t>达证券</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弘业期货</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新</w:t>
            </w:r>
            <w:proofErr w:type="gramStart"/>
            <w:r w:rsidRPr="003C4C0E">
              <w:rPr>
                <w:rFonts w:ascii="宋体" w:eastAsia="宋体" w:hAnsi="宋体" w:cs="宋体"/>
                <w:kern w:val="0"/>
                <w:sz w:val="24"/>
                <w:szCs w:val="24"/>
              </w:rPr>
              <w:t>浪基金</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东莞农商行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东方证券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兴业证券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阳光人寿</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和耕传承</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重庆农商行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东海证券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银河证券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深圳新兰德</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富济基金</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西安银行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东吴证券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招商证券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汇成基金</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电盈基金</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金华银行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东兴证券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浙商证券</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伯嘉基金</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深圳腾元</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江南农商行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方正证券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中航证券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创金启富</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百度百盈</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包商银行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光大证券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中金公司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联泰基金</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有鱼基金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苏州银行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国都证券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中泰证券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中民财富</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云湾基金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杭州联合银行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国海证券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w:t>
            </w:r>
            <w:proofErr w:type="gramStart"/>
            <w:r w:rsidRPr="003C4C0E">
              <w:rPr>
                <w:rFonts w:ascii="宋体" w:eastAsia="宋体" w:hAnsi="宋体" w:cs="宋体"/>
                <w:kern w:val="0"/>
                <w:sz w:val="24"/>
                <w:szCs w:val="24"/>
              </w:rPr>
              <w:t>天证券</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蚂蚁基金</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中正达广</w:t>
            </w:r>
            <w:proofErr w:type="gramEnd"/>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晋商银行</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国金证券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中投证券</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乾道盈泰</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钜</w:t>
            </w:r>
            <w:proofErr w:type="gramEnd"/>
            <w:r w:rsidRPr="003C4C0E">
              <w:rPr>
                <w:rFonts w:ascii="宋体" w:eastAsia="宋体" w:hAnsi="宋体" w:cs="宋体"/>
                <w:kern w:val="0"/>
                <w:sz w:val="24"/>
                <w:szCs w:val="24"/>
              </w:rPr>
              <w:t>派</w:t>
            </w:r>
            <w:proofErr w:type="gramStart"/>
            <w:r w:rsidRPr="003C4C0E">
              <w:rPr>
                <w:rFonts w:ascii="宋体" w:eastAsia="宋体" w:hAnsi="宋体" w:cs="宋体"/>
                <w:kern w:val="0"/>
                <w:sz w:val="24"/>
                <w:szCs w:val="24"/>
              </w:rPr>
              <w:t>钰</w:t>
            </w:r>
            <w:proofErr w:type="gramEnd"/>
            <w:r w:rsidRPr="003C4C0E">
              <w:rPr>
                <w:rFonts w:ascii="宋体" w:eastAsia="宋体" w:hAnsi="宋体" w:cs="宋体"/>
                <w:kern w:val="0"/>
                <w:sz w:val="24"/>
                <w:szCs w:val="24"/>
              </w:rPr>
              <w:t>茂</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富</w:t>
            </w:r>
            <w:proofErr w:type="gramStart"/>
            <w:r w:rsidRPr="003C4C0E">
              <w:rPr>
                <w:rFonts w:ascii="宋体" w:eastAsia="宋体" w:hAnsi="宋体" w:cs="宋体"/>
                <w:kern w:val="0"/>
                <w:sz w:val="24"/>
                <w:szCs w:val="24"/>
              </w:rPr>
              <w:t>滇银行</w:t>
            </w:r>
            <w:proofErr w:type="gramEnd"/>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国联证券</w:t>
            </w:r>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w:t>
            </w:r>
            <w:proofErr w:type="gramStart"/>
            <w:r w:rsidRPr="003C4C0E">
              <w:rPr>
                <w:rFonts w:ascii="宋体" w:eastAsia="宋体" w:hAnsi="宋体" w:cs="宋体"/>
                <w:kern w:val="0"/>
                <w:sz w:val="24"/>
                <w:szCs w:val="24"/>
              </w:rPr>
              <w:t>信建投</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凤凰金</w:t>
            </w:r>
            <w:proofErr w:type="gramEnd"/>
            <w:r w:rsidRPr="003C4C0E">
              <w:rPr>
                <w:rFonts w:ascii="宋体" w:eastAsia="宋体" w:hAnsi="宋体" w:cs="宋体"/>
                <w:kern w:val="0"/>
                <w:sz w:val="24"/>
                <w:szCs w:val="24"/>
              </w:rPr>
              <w:t>信</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汇付基金</w:t>
            </w:r>
          </w:p>
        </w:tc>
      </w:tr>
      <w:tr w:rsidR="003C4C0E" w:rsidRPr="003C4C0E" w:rsidTr="003C4C0E">
        <w:trPr>
          <w:tblCellSpacing w:w="0" w:type="dxa"/>
        </w:trPr>
        <w:tc>
          <w:tcPr>
            <w:tcW w:w="9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汇林保大</w:t>
            </w:r>
          </w:p>
        </w:tc>
        <w:tc>
          <w:tcPr>
            <w:tcW w:w="850" w:type="pct"/>
            <w:tcBorders>
              <w:top w:val="outset" w:sz="6" w:space="0" w:color="auto"/>
              <w:left w:val="outset" w:sz="6" w:space="0" w:color="auto"/>
              <w:bottom w:val="outset" w:sz="6" w:space="0" w:color="auto"/>
              <w:right w:val="outset" w:sz="6" w:space="0" w:color="auto"/>
            </w:tcBorders>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前海财厚</w:t>
            </w:r>
            <w:proofErr w:type="gramEnd"/>
          </w:p>
        </w:tc>
        <w:tc>
          <w:tcPr>
            <w:tcW w:w="11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国信嘉利</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 </w:t>
            </w:r>
          </w:p>
        </w:tc>
      </w:tr>
    </w:tbl>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 </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b/>
          <w:bCs/>
          <w:kern w:val="0"/>
          <w:sz w:val="24"/>
          <w:szCs w:val="24"/>
        </w:rPr>
        <w:t>3)办理本</w:t>
      </w:r>
      <w:proofErr w:type="gramStart"/>
      <w:r w:rsidRPr="003C4C0E">
        <w:rPr>
          <w:rFonts w:ascii="宋体" w:eastAsia="宋体" w:hAnsi="宋体" w:cs="宋体"/>
          <w:b/>
          <w:bCs/>
          <w:kern w:val="0"/>
          <w:sz w:val="24"/>
          <w:szCs w:val="24"/>
        </w:rPr>
        <w:t>基金定投的</w:t>
      </w:r>
      <w:proofErr w:type="gramEnd"/>
      <w:r w:rsidRPr="003C4C0E">
        <w:rPr>
          <w:rFonts w:ascii="宋体" w:eastAsia="宋体" w:hAnsi="宋体" w:cs="宋体"/>
          <w:b/>
          <w:bCs/>
          <w:kern w:val="0"/>
          <w:sz w:val="24"/>
          <w:szCs w:val="24"/>
        </w:rPr>
        <w:t>代销机构</w:t>
      </w:r>
    </w:p>
    <w:tbl>
      <w:tblPr>
        <w:tblW w:w="4950" w:type="pct"/>
        <w:tblCellSpacing w:w="0" w:type="dxa"/>
        <w:tblCellMar>
          <w:left w:w="0" w:type="dxa"/>
          <w:right w:w="0" w:type="dxa"/>
        </w:tblCellMar>
        <w:tblLook w:val="04A0"/>
      </w:tblPr>
      <w:tblGrid>
        <w:gridCol w:w="1920"/>
        <w:gridCol w:w="2266"/>
        <w:gridCol w:w="2018"/>
        <w:gridCol w:w="2019"/>
      </w:tblGrid>
      <w:tr w:rsidR="003C4C0E" w:rsidRPr="003C4C0E" w:rsidTr="003C4C0E">
        <w:trPr>
          <w:tblCellSpacing w:w="0" w:type="dxa"/>
        </w:trPr>
        <w:tc>
          <w:tcPr>
            <w:tcW w:w="1050" w:type="pct"/>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b/>
                <w:bCs/>
                <w:kern w:val="0"/>
                <w:sz w:val="24"/>
                <w:szCs w:val="24"/>
              </w:rPr>
              <w:t>代销机构</w:t>
            </w:r>
          </w:p>
        </w:tc>
        <w:tc>
          <w:tcPr>
            <w:tcW w:w="1400" w:type="pct"/>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b/>
                <w:bCs/>
                <w:kern w:val="0"/>
                <w:sz w:val="24"/>
                <w:szCs w:val="24"/>
              </w:rPr>
              <w:t>每期定投申购</w:t>
            </w:r>
            <w:proofErr w:type="gramEnd"/>
            <w:r w:rsidRPr="003C4C0E">
              <w:rPr>
                <w:rFonts w:ascii="宋体" w:eastAsia="宋体" w:hAnsi="宋体" w:cs="宋体"/>
                <w:b/>
                <w:bCs/>
                <w:kern w:val="0"/>
                <w:sz w:val="24"/>
                <w:szCs w:val="24"/>
              </w:rPr>
              <w:t>最低扣款金额（元）</w:t>
            </w:r>
          </w:p>
        </w:tc>
        <w:tc>
          <w:tcPr>
            <w:tcW w:w="1250" w:type="pct"/>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b/>
                <w:bCs/>
                <w:kern w:val="0"/>
                <w:sz w:val="24"/>
                <w:szCs w:val="24"/>
              </w:rPr>
              <w:t>代销机构</w:t>
            </w:r>
          </w:p>
        </w:tc>
        <w:tc>
          <w:tcPr>
            <w:tcW w:w="1250" w:type="pct"/>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b/>
                <w:bCs/>
                <w:kern w:val="0"/>
                <w:sz w:val="24"/>
                <w:szCs w:val="24"/>
              </w:rPr>
              <w:t>每期定投申购</w:t>
            </w:r>
            <w:proofErr w:type="gramEnd"/>
            <w:r w:rsidRPr="003C4C0E">
              <w:rPr>
                <w:rFonts w:ascii="宋体" w:eastAsia="宋体" w:hAnsi="宋体" w:cs="宋体"/>
                <w:b/>
                <w:bCs/>
                <w:kern w:val="0"/>
                <w:sz w:val="24"/>
                <w:szCs w:val="24"/>
              </w:rPr>
              <w:t>最低扣款金额（元）</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工商银行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信</w:t>
            </w:r>
            <w:proofErr w:type="gramStart"/>
            <w:r w:rsidRPr="003C4C0E">
              <w:rPr>
                <w:rFonts w:ascii="宋体" w:eastAsia="宋体" w:hAnsi="宋体" w:cs="宋体"/>
                <w:kern w:val="0"/>
                <w:sz w:val="24"/>
                <w:szCs w:val="24"/>
              </w:rPr>
              <w:t>达证券</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农业银行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兴业证券</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中国银行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银河证券</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建设银行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招商证券</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交通银行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浙商证券</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招商银行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300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中金公司</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中信银行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中泰证券</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lastRenderedPageBreak/>
              <w:t>浦发银行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300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w:t>
            </w:r>
            <w:proofErr w:type="gramStart"/>
            <w:r w:rsidRPr="003C4C0E">
              <w:rPr>
                <w:rFonts w:ascii="宋体" w:eastAsia="宋体" w:hAnsi="宋体" w:cs="宋体"/>
                <w:kern w:val="0"/>
                <w:sz w:val="24"/>
                <w:szCs w:val="24"/>
              </w:rPr>
              <w:t>天证券</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300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兴业银行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300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中投证券</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民生银行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w:t>
            </w:r>
            <w:proofErr w:type="gramStart"/>
            <w:r w:rsidRPr="003C4C0E">
              <w:rPr>
                <w:rFonts w:ascii="宋体" w:eastAsia="宋体" w:hAnsi="宋体" w:cs="宋体"/>
                <w:kern w:val="0"/>
                <w:sz w:val="24"/>
                <w:szCs w:val="24"/>
              </w:rPr>
              <w:t>信建投</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邮储银行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中信证券</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上海银行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中信证券（山东）</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广发银行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中原证券</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平安银行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鑫</w:t>
            </w:r>
            <w:proofErr w:type="gramEnd"/>
            <w:r w:rsidRPr="003C4C0E">
              <w:rPr>
                <w:rFonts w:ascii="宋体" w:eastAsia="宋体" w:hAnsi="宋体" w:cs="宋体"/>
                <w:kern w:val="0"/>
                <w:sz w:val="24"/>
                <w:szCs w:val="24"/>
              </w:rPr>
              <w:t>鼎盛</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宁波银行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上海长量</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上海农商行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展恒理财</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杭州银行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中期时代</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江苏银行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泛</w:t>
            </w:r>
            <w:proofErr w:type="gramStart"/>
            <w:r w:rsidRPr="003C4C0E">
              <w:rPr>
                <w:rFonts w:ascii="宋体" w:eastAsia="宋体" w:hAnsi="宋体" w:cs="宋体"/>
                <w:kern w:val="0"/>
                <w:sz w:val="24"/>
                <w:szCs w:val="24"/>
              </w:rPr>
              <w:t>华普益</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渤海银行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宜信普泽</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哈尔滨银行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浦领基金</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东莞农商行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增财基金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200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重庆农商行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钱景基金</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西安银行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海</w:t>
            </w:r>
            <w:proofErr w:type="gramStart"/>
            <w:r w:rsidRPr="003C4C0E">
              <w:rPr>
                <w:rFonts w:ascii="宋体" w:eastAsia="宋体" w:hAnsi="宋体" w:cs="宋体"/>
                <w:kern w:val="0"/>
                <w:sz w:val="24"/>
                <w:szCs w:val="24"/>
              </w:rPr>
              <w:t>银基金</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金华银行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佳泓基金</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江南农商行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泰诚财富</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包商银行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w:t>
            </w:r>
            <w:proofErr w:type="gramStart"/>
            <w:r w:rsidRPr="003C4C0E">
              <w:rPr>
                <w:rFonts w:ascii="宋体" w:eastAsia="宋体" w:hAnsi="宋体" w:cs="宋体"/>
                <w:kern w:val="0"/>
                <w:sz w:val="24"/>
                <w:szCs w:val="24"/>
              </w:rPr>
              <w:t>信建投期货</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苏州银行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中信期货</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杭州联合银行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东证期货</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晋商银行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阳光人寿</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富</w:t>
            </w:r>
            <w:proofErr w:type="gramStart"/>
            <w:r w:rsidRPr="003C4C0E">
              <w:rPr>
                <w:rFonts w:ascii="宋体" w:eastAsia="宋体" w:hAnsi="宋体" w:cs="宋体"/>
                <w:kern w:val="0"/>
                <w:sz w:val="24"/>
                <w:szCs w:val="24"/>
              </w:rPr>
              <w:t>滇银行</w:t>
            </w:r>
            <w:proofErr w:type="gramEnd"/>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300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深圳新兰德</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恒丰银行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汇成基金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瑞丰农商行</w:t>
            </w:r>
            <w:proofErr w:type="gramEnd"/>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伯嘉基金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200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龙湾农商行</w:t>
            </w:r>
            <w:proofErr w:type="gramEnd"/>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创金启富</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泉州银行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联泰基金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锦州银行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中民财富</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长春农商行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诺亚正行</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鹿城农商行</w:t>
            </w:r>
            <w:proofErr w:type="gramEnd"/>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陆基金</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龙江银行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蚂蚁基金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乐清农商行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乾道盈泰</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中原银行</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微众银行</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爱建证券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 xml:space="preserve">200 </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凤凰金</w:t>
            </w:r>
            <w:proofErr w:type="gramEnd"/>
            <w:r w:rsidRPr="003C4C0E">
              <w:rPr>
                <w:rFonts w:ascii="宋体" w:eastAsia="宋体" w:hAnsi="宋体" w:cs="宋体"/>
                <w:kern w:val="0"/>
                <w:sz w:val="24"/>
                <w:szCs w:val="24"/>
              </w:rPr>
              <w:t>信</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安信证券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300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同花顺</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财通证券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浙商银行</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长江证券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300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苏宁基金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德</w:t>
            </w:r>
            <w:proofErr w:type="gramStart"/>
            <w:r w:rsidRPr="003C4C0E">
              <w:rPr>
                <w:rFonts w:ascii="宋体" w:eastAsia="宋体" w:hAnsi="宋体" w:cs="宋体"/>
                <w:kern w:val="0"/>
                <w:sz w:val="24"/>
                <w:szCs w:val="24"/>
              </w:rPr>
              <w:t>邦</w:t>
            </w:r>
            <w:proofErr w:type="gramEnd"/>
            <w:r w:rsidRPr="003C4C0E">
              <w:rPr>
                <w:rFonts w:ascii="宋体" w:eastAsia="宋体" w:hAnsi="宋体" w:cs="宋体"/>
                <w:kern w:val="0"/>
                <w:sz w:val="24"/>
                <w:szCs w:val="24"/>
              </w:rPr>
              <w:t>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300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蛋卷基金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第一创业证券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一路财富</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东北证券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中证金牛</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东方证券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凯</w:t>
            </w:r>
            <w:proofErr w:type="gramEnd"/>
            <w:r w:rsidRPr="003C4C0E">
              <w:rPr>
                <w:rFonts w:ascii="宋体" w:eastAsia="宋体" w:hAnsi="宋体" w:cs="宋体"/>
                <w:kern w:val="0"/>
                <w:sz w:val="24"/>
                <w:szCs w:val="24"/>
              </w:rPr>
              <w:t>石财富</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东海证券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300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和讯信息</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200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东吴证券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好买基金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200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方正证券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肯特瑞</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lastRenderedPageBreak/>
              <w:t>国都证券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天天基金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国海证券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利得基金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国金证券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盈米基金</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国联证券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w:t>
            </w:r>
            <w:proofErr w:type="gramStart"/>
            <w:r w:rsidRPr="003C4C0E">
              <w:rPr>
                <w:rFonts w:ascii="宋体" w:eastAsia="宋体" w:hAnsi="宋体" w:cs="宋体"/>
                <w:kern w:val="0"/>
                <w:sz w:val="24"/>
                <w:szCs w:val="24"/>
              </w:rPr>
              <w:t>美基金</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国泰君安</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万得基金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海通证券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众禄基金</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恒泰证券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奕丰金融</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华安证券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虹点基金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w:t>
            </w:r>
            <w:proofErr w:type="gramStart"/>
            <w:r w:rsidRPr="003C4C0E">
              <w:rPr>
                <w:rFonts w:ascii="宋体" w:eastAsia="宋体" w:hAnsi="宋体" w:cs="宋体"/>
                <w:kern w:val="0"/>
                <w:sz w:val="24"/>
                <w:szCs w:val="24"/>
              </w:rPr>
              <w:t>宝证券</w:t>
            </w:r>
            <w:proofErr w:type="gramEnd"/>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新</w:t>
            </w:r>
            <w:proofErr w:type="gramStart"/>
            <w:r w:rsidRPr="003C4C0E">
              <w:rPr>
                <w:rFonts w:ascii="宋体" w:eastAsia="宋体" w:hAnsi="宋体" w:cs="宋体"/>
                <w:kern w:val="0"/>
                <w:sz w:val="24"/>
                <w:szCs w:val="24"/>
              </w:rPr>
              <w:t>浪基金</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华福证券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和耕传承</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w:t>
            </w:r>
            <w:proofErr w:type="gramStart"/>
            <w:r w:rsidRPr="003C4C0E">
              <w:rPr>
                <w:rFonts w:ascii="宋体" w:eastAsia="宋体" w:hAnsi="宋体" w:cs="宋体"/>
                <w:kern w:val="0"/>
                <w:sz w:val="24"/>
                <w:szCs w:val="24"/>
              </w:rPr>
              <w:t>龙证券</w:t>
            </w:r>
            <w:proofErr w:type="gramEnd"/>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富济基金</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华融证券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挖财基金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华鑫证券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电盈基金</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江海证券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深圳腾元</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开源证券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百度百盈</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联储证券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大智慧基金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联</w:t>
            </w:r>
            <w:proofErr w:type="gramStart"/>
            <w:r w:rsidRPr="003C4C0E">
              <w:rPr>
                <w:rFonts w:ascii="宋体" w:eastAsia="宋体" w:hAnsi="宋体" w:cs="宋体"/>
                <w:kern w:val="0"/>
                <w:sz w:val="24"/>
                <w:szCs w:val="24"/>
              </w:rPr>
              <w:t>讯证券</w:t>
            </w:r>
            <w:proofErr w:type="gramEnd"/>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300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洪泰财富</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平安证券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有鱼基金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申万宏源西部证券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500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云湾基金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申万宏</w:t>
            </w:r>
            <w:proofErr w:type="gramStart"/>
            <w:r w:rsidRPr="003C4C0E">
              <w:rPr>
                <w:rFonts w:ascii="宋体" w:eastAsia="宋体" w:hAnsi="宋体" w:cs="宋体"/>
                <w:kern w:val="0"/>
                <w:sz w:val="24"/>
                <w:szCs w:val="24"/>
              </w:rPr>
              <w:t>源证券</w:t>
            </w:r>
            <w:proofErr w:type="gramEnd"/>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500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中正达广</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世纪证券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钜</w:t>
            </w:r>
            <w:proofErr w:type="gramEnd"/>
            <w:r w:rsidRPr="003C4C0E">
              <w:rPr>
                <w:rFonts w:ascii="宋体" w:eastAsia="宋体" w:hAnsi="宋体" w:cs="宋体"/>
                <w:kern w:val="0"/>
                <w:sz w:val="24"/>
                <w:szCs w:val="24"/>
              </w:rPr>
              <w:t>派</w:t>
            </w:r>
            <w:proofErr w:type="gramStart"/>
            <w:r w:rsidRPr="003C4C0E">
              <w:rPr>
                <w:rFonts w:ascii="宋体" w:eastAsia="宋体" w:hAnsi="宋体" w:cs="宋体"/>
                <w:kern w:val="0"/>
                <w:sz w:val="24"/>
                <w:szCs w:val="24"/>
              </w:rPr>
              <w:t>钰</w:t>
            </w:r>
            <w:proofErr w:type="gramEnd"/>
            <w:r w:rsidRPr="003C4C0E">
              <w:rPr>
                <w:rFonts w:ascii="宋体" w:eastAsia="宋体" w:hAnsi="宋体" w:cs="宋体"/>
                <w:kern w:val="0"/>
                <w:sz w:val="24"/>
                <w:szCs w:val="24"/>
              </w:rPr>
              <w:t>茂</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200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万联证券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200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途牛金服</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西南证券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汇付基金</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湘财证券</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proofErr w:type="gramStart"/>
            <w:r w:rsidRPr="003C4C0E">
              <w:rPr>
                <w:rFonts w:ascii="宋体" w:eastAsia="宋体" w:hAnsi="宋体" w:cs="宋体"/>
                <w:kern w:val="0"/>
                <w:sz w:val="24"/>
                <w:szCs w:val="24"/>
              </w:rPr>
              <w:t>前海财厚</w:t>
            </w:r>
            <w:proofErr w:type="gramEnd"/>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r>
      <w:tr w:rsidR="003C4C0E" w:rsidRPr="003C4C0E" w:rsidTr="003C4C0E">
        <w:trPr>
          <w:tblCellSpacing w:w="0" w:type="dxa"/>
        </w:trPr>
        <w:tc>
          <w:tcPr>
            <w:tcW w:w="10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汇林保大</w:t>
            </w:r>
          </w:p>
        </w:tc>
        <w:tc>
          <w:tcPr>
            <w:tcW w:w="140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100</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 </w:t>
            </w:r>
          </w:p>
        </w:tc>
        <w:tc>
          <w:tcPr>
            <w:tcW w:w="1250" w:type="pct"/>
            <w:noWrap/>
            <w:vAlign w:val="center"/>
            <w:hideMark/>
          </w:tcPr>
          <w:p w:rsidR="003C4C0E" w:rsidRPr="003C4C0E" w:rsidRDefault="003C4C0E" w:rsidP="003C4C0E">
            <w:pPr>
              <w:widowControl/>
              <w:spacing w:before="100" w:beforeAutospacing="1" w:after="100" w:afterAutospacing="1"/>
              <w:jc w:val="center"/>
              <w:rPr>
                <w:rFonts w:ascii="宋体" w:eastAsia="宋体" w:hAnsi="宋体" w:cs="宋体"/>
                <w:kern w:val="0"/>
                <w:sz w:val="24"/>
                <w:szCs w:val="24"/>
              </w:rPr>
            </w:pPr>
            <w:r w:rsidRPr="003C4C0E">
              <w:rPr>
                <w:rFonts w:ascii="宋体" w:eastAsia="宋体" w:hAnsi="宋体" w:cs="宋体"/>
                <w:kern w:val="0"/>
                <w:sz w:val="24"/>
                <w:szCs w:val="24"/>
              </w:rPr>
              <w:t> </w:t>
            </w:r>
          </w:p>
        </w:tc>
      </w:tr>
    </w:tbl>
    <w:p w:rsidR="003C4C0E" w:rsidRPr="003C4C0E" w:rsidRDefault="003C4C0E" w:rsidP="003C4C0E">
      <w:pPr>
        <w:widowControl/>
        <w:spacing w:before="100" w:beforeAutospacing="1" w:after="100" w:afterAutospacing="1"/>
        <w:jc w:val="left"/>
        <w:outlineLvl w:val="1"/>
        <w:rPr>
          <w:rFonts w:ascii="宋体" w:eastAsia="宋体" w:hAnsi="宋体" w:cs="宋体"/>
          <w:b/>
          <w:bCs/>
          <w:kern w:val="0"/>
          <w:sz w:val="36"/>
          <w:szCs w:val="36"/>
        </w:rPr>
      </w:pPr>
      <w:r w:rsidRPr="003C4C0E">
        <w:rPr>
          <w:rFonts w:ascii="宋体" w:eastAsia="宋体" w:hAnsi="宋体" w:cs="宋体"/>
          <w:b/>
          <w:bCs/>
          <w:kern w:val="0"/>
          <w:sz w:val="36"/>
          <w:szCs w:val="36"/>
        </w:rPr>
        <w:t xml:space="preserve">8 </w:t>
      </w:r>
      <w:bookmarkStart w:id="37" w:name="t_2_8_table"/>
      <w:bookmarkEnd w:id="37"/>
      <w:r w:rsidRPr="003C4C0E">
        <w:rPr>
          <w:rFonts w:ascii="宋体" w:eastAsia="宋体" w:hAnsi="宋体" w:cs="宋体"/>
          <w:b/>
          <w:bCs/>
          <w:kern w:val="0"/>
          <w:sz w:val="36"/>
          <w:szCs w:val="36"/>
        </w:rPr>
        <w:t>基金份额净值公告/基金收益公告的披露安排</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38" w:name="t_2_8_2756_a1_fm1"/>
      <w:bookmarkEnd w:id="38"/>
      <w:r w:rsidRPr="003C4C0E">
        <w:rPr>
          <w:rFonts w:ascii="宋体" w:eastAsia="宋体" w:hAnsi="宋体" w:cs="宋体"/>
          <w:kern w:val="0"/>
          <w:sz w:val="24"/>
          <w:szCs w:val="24"/>
        </w:rPr>
        <w:t>从2019年8月13日起，基金管理人将通过中国证监会指定的信息披露媒体、基金管理人网站等媒介公布上一个基金开放日的基金份额净值。</w:t>
      </w:r>
    </w:p>
    <w:p w:rsidR="003C4C0E" w:rsidRPr="003C4C0E" w:rsidRDefault="003C4C0E" w:rsidP="003C4C0E">
      <w:pPr>
        <w:widowControl/>
        <w:spacing w:before="100" w:beforeAutospacing="1" w:after="100" w:afterAutospacing="1"/>
        <w:jc w:val="left"/>
        <w:outlineLvl w:val="1"/>
        <w:rPr>
          <w:rFonts w:ascii="宋体" w:eastAsia="宋体" w:hAnsi="宋体" w:cs="宋体"/>
          <w:b/>
          <w:bCs/>
          <w:kern w:val="0"/>
          <w:sz w:val="36"/>
          <w:szCs w:val="36"/>
        </w:rPr>
      </w:pPr>
      <w:r w:rsidRPr="003C4C0E">
        <w:rPr>
          <w:rFonts w:ascii="宋体" w:eastAsia="宋体" w:hAnsi="宋体" w:cs="宋体"/>
          <w:b/>
          <w:bCs/>
          <w:kern w:val="0"/>
          <w:sz w:val="36"/>
          <w:szCs w:val="36"/>
        </w:rPr>
        <w:t xml:space="preserve">9 </w:t>
      </w:r>
      <w:bookmarkStart w:id="39" w:name="t_2_9_table"/>
      <w:bookmarkEnd w:id="39"/>
      <w:r w:rsidRPr="003C4C0E">
        <w:rPr>
          <w:rFonts w:ascii="宋体" w:eastAsia="宋体" w:hAnsi="宋体" w:cs="宋体"/>
          <w:b/>
          <w:bCs/>
          <w:kern w:val="0"/>
          <w:sz w:val="36"/>
          <w:szCs w:val="36"/>
        </w:rPr>
        <w:t>其他需要提示的事项</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bookmarkStart w:id="40" w:name="t_2_9_2646_a1_fm1"/>
      <w:bookmarkEnd w:id="40"/>
      <w:r w:rsidRPr="003C4C0E">
        <w:rPr>
          <w:rFonts w:ascii="宋体" w:eastAsia="宋体" w:hAnsi="宋体" w:cs="宋体"/>
          <w:kern w:val="0"/>
          <w:sz w:val="24"/>
          <w:szCs w:val="24"/>
        </w:rPr>
        <w:t>1、本公告仅对本基金开放日常申购、赎回、转换与</w:t>
      </w:r>
      <w:proofErr w:type="gramStart"/>
      <w:r w:rsidRPr="003C4C0E">
        <w:rPr>
          <w:rFonts w:ascii="宋体" w:eastAsia="宋体" w:hAnsi="宋体" w:cs="宋体"/>
          <w:kern w:val="0"/>
          <w:sz w:val="24"/>
          <w:szCs w:val="24"/>
        </w:rPr>
        <w:t>定投业务</w:t>
      </w:r>
      <w:proofErr w:type="gramEnd"/>
      <w:r w:rsidRPr="003C4C0E">
        <w:rPr>
          <w:rFonts w:ascii="宋体" w:eastAsia="宋体" w:hAnsi="宋体" w:cs="宋体"/>
          <w:kern w:val="0"/>
          <w:sz w:val="24"/>
          <w:szCs w:val="24"/>
        </w:rPr>
        <w:t>的有关事项予以说明。投资者欲了解本基金的详细情况，请仔细阅读刊登于本公司网站(www.99fund.com)的本基金《基金合同》和《招募说明书》等法律文件，以及2019年7月16日刊登于基金管理人网站和《上海证券报》的《汇添富盈稳保本混合型证券投资基金保本周期到期安排及转型为汇添富盈泰灵活配置混合型证券投资基金相关业务规则的公告》，还可拨打本公司客户服务热线（400-888-9918）咨询相关信息。</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2、原汇添</w:t>
      </w:r>
      <w:proofErr w:type="gramStart"/>
      <w:r w:rsidRPr="003C4C0E">
        <w:rPr>
          <w:rFonts w:ascii="宋体" w:eastAsia="宋体" w:hAnsi="宋体" w:cs="宋体"/>
          <w:kern w:val="0"/>
          <w:sz w:val="24"/>
          <w:szCs w:val="24"/>
        </w:rPr>
        <w:t>富盈稳</w:t>
      </w:r>
      <w:proofErr w:type="gramEnd"/>
      <w:r w:rsidRPr="003C4C0E">
        <w:rPr>
          <w:rFonts w:ascii="宋体" w:eastAsia="宋体" w:hAnsi="宋体" w:cs="宋体"/>
          <w:kern w:val="0"/>
          <w:sz w:val="24"/>
          <w:szCs w:val="24"/>
        </w:rPr>
        <w:t>保本混合型证券投资基金的基金份额持有人在保本周期到期操作期间未选择赎回或转出，继续持有的转型后的“汇添富盈泰灵活配置混合型证</w:t>
      </w:r>
      <w:r w:rsidRPr="003C4C0E">
        <w:rPr>
          <w:rFonts w:ascii="宋体" w:eastAsia="宋体" w:hAnsi="宋体" w:cs="宋体"/>
          <w:kern w:val="0"/>
          <w:sz w:val="24"/>
          <w:szCs w:val="24"/>
        </w:rPr>
        <w:lastRenderedPageBreak/>
        <w:t>券投资基金”的基金份额，可在原销售机构办理赎回或转出等业务。投资者在本基金销售机构办理基金事务，具体办理规则及程序请遵循各销售机构的规定。</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3、基金销售机构可以在不违背法律法规规定及《基金合同》约定的情形下根据市场情况开展基金申购的费率优惠活动，投资者应以各销售机构执行的申购费率为准。</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proofErr w:type="gramStart"/>
      <w:r w:rsidRPr="003C4C0E">
        <w:rPr>
          <w:rFonts w:ascii="宋体" w:eastAsia="宋体" w:hAnsi="宋体" w:cs="宋体"/>
          <w:kern w:val="0"/>
          <w:sz w:val="24"/>
          <w:szCs w:val="24"/>
        </w:rPr>
        <w:t>汇添富基金</w:t>
      </w:r>
      <w:proofErr w:type="gramEnd"/>
      <w:r w:rsidRPr="003C4C0E">
        <w:rPr>
          <w:rFonts w:ascii="宋体" w:eastAsia="宋体" w:hAnsi="宋体" w:cs="宋体"/>
          <w:kern w:val="0"/>
          <w:sz w:val="24"/>
          <w:szCs w:val="24"/>
        </w:rPr>
        <w:t>高度重视投资者服务和投资者教育，特此提醒投资者需正确认知基金投资的风险和长期收益，做理性的基金投资人、做明白的基金投资人，享受长期投资的快乐！</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特此公告。</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 </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 </w:t>
      </w:r>
    </w:p>
    <w:p w:rsidR="003C4C0E" w:rsidRPr="003C4C0E" w:rsidRDefault="003C4C0E" w:rsidP="003C4C0E">
      <w:pPr>
        <w:widowControl/>
        <w:spacing w:before="100" w:beforeAutospacing="1" w:after="100" w:afterAutospacing="1"/>
        <w:jc w:val="left"/>
        <w:rPr>
          <w:rFonts w:ascii="宋体" w:eastAsia="宋体" w:hAnsi="宋体" w:cs="宋体"/>
          <w:kern w:val="0"/>
          <w:sz w:val="24"/>
          <w:szCs w:val="24"/>
        </w:rPr>
      </w:pPr>
      <w:r w:rsidRPr="003C4C0E">
        <w:rPr>
          <w:rFonts w:ascii="宋体" w:eastAsia="宋体" w:hAnsi="宋体" w:cs="宋体"/>
          <w:kern w:val="0"/>
          <w:sz w:val="24"/>
          <w:szCs w:val="24"/>
        </w:rPr>
        <w:t> </w:t>
      </w:r>
    </w:p>
    <w:p w:rsidR="003C4C0E" w:rsidRPr="003C4C0E" w:rsidRDefault="003C4C0E" w:rsidP="003C4C0E">
      <w:pPr>
        <w:widowControl/>
        <w:spacing w:before="100" w:beforeAutospacing="1" w:after="100" w:afterAutospacing="1"/>
        <w:jc w:val="right"/>
        <w:rPr>
          <w:rFonts w:ascii="宋体" w:eastAsia="宋体" w:hAnsi="宋体" w:cs="宋体"/>
          <w:kern w:val="0"/>
          <w:sz w:val="24"/>
          <w:szCs w:val="24"/>
        </w:rPr>
      </w:pPr>
      <w:proofErr w:type="gramStart"/>
      <w:r w:rsidRPr="003C4C0E">
        <w:rPr>
          <w:rFonts w:ascii="宋体" w:eastAsia="宋体" w:hAnsi="宋体" w:cs="宋体"/>
          <w:kern w:val="0"/>
          <w:sz w:val="24"/>
          <w:szCs w:val="24"/>
        </w:rPr>
        <w:t>汇添富基金</w:t>
      </w:r>
      <w:proofErr w:type="gramEnd"/>
      <w:r w:rsidRPr="003C4C0E">
        <w:rPr>
          <w:rFonts w:ascii="宋体" w:eastAsia="宋体" w:hAnsi="宋体" w:cs="宋体"/>
          <w:kern w:val="0"/>
          <w:sz w:val="24"/>
          <w:szCs w:val="24"/>
        </w:rPr>
        <w:t>管理股份有限公司</w:t>
      </w:r>
    </w:p>
    <w:p w:rsidR="003C4C0E" w:rsidRPr="003C4C0E" w:rsidRDefault="003C4C0E" w:rsidP="003C4C0E">
      <w:pPr>
        <w:widowControl/>
        <w:spacing w:before="100" w:beforeAutospacing="1" w:after="100" w:afterAutospacing="1"/>
        <w:jc w:val="right"/>
        <w:rPr>
          <w:rFonts w:ascii="宋体" w:eastAsia="宋体" w:hAnsi="宋体" w:cs="宋体"/>
          <w:kern w:val="0"/>
          <w:sz w:val="24"/>
          <w:szCs w:val="24"/>
        </w:rPr>
      </w:pPr>
      <w:r w:rsidRPr="003C4C0E">
        <w:rPr>
          <w:rFonts w:ascii="宋体" w:eastAsia="宋体" w:hAnsi="宋体" w:cs="宋体"/>
          <w:kern w:val="0"/>
          <w:sz w:val="24"/>
          <w:szCs w:val="24"/>
        </w:rPr>
        <w:t>2019年8月10日</w:t>
      </w:r>
    </w:p>
    <w:p w:rsidR="00B87B9B" w:rsidRDefault="00B87B9B"/>
    <w:sectPr w:rsidR="00B87B9B" w:rsidSect="000E1B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0E" w:rsidRDefault="003C4C0E" w:rsidP="003C4C0E">
      <w:r>
        <w:separator/>
      </w:r>
    </w:p>
  </w:endnote>
  <w:endnote w:type="continuationSeparator" w:id="0">
    <w:p w:rsidR="003C4C0E" w:rsidRDefault="003C4C0E" w:rsidP="003C4C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0E" w:rsidRDefault="003C4C0E" w:rsidP="003C4C0E">
      <w:r>
        <w:separator/>
      </w:r>
    </w:p>
  </w:footnote>
  <w:footnote w:type="continuationSeparator" w:id="0">
    <w:p w:rsidR="003C4C0E" w:rsidRDefault="003C4C0E" w:rsidP="003C4C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4C0E"/>
    <w:rsid w:val="000E1B8A"/>
    <w:rsid w:val="003C4C0E"/>
    <w:rsid w:val="006877E0"/>
    <w:rsid w:val="00B87B9B"/>
    <w:rsid w:val="00BF2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8A"/>
    <w:pPr>
      <w:widowControl w:val="0"/>
      <w:jc w:val="both"/>
    </w:pPr>
  </w:style>
  <w:style w:type="paragraph" w:styleId="2">
    <w:name w:val="heading 2"/>
    <w:basedOn w:val="a"/>
    <w:link w:val="2Char"/>
    <w:uiPriority w:val="9"/>
    <w:qFormat/>
    <w:rsid w:val="003C4C0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C4C0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4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4C0E"/>
    <w:rPr>
      <w:sz w:val="18"/>
      <w:szCs w:val="18"/>
    </w:rPr>
  </w:style>
  <w:style w:type="paragraph" w:styleId="a4">
    <w:name w:val="footer"/>
    <w:basedOn w:val="a"/>
    <w:link w:val="Char0"/>
    <w:uiPriority w:val="99"/>
    <w:semiHidden/>
    <w:unhideWhenUsed/>
    <w:rsid w:val="003C4C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4C0E"/>
    <w:rPr>
      <w:sz w:val="18"/>
      <w:szCs w:val="18"/>
    </w:rPr>
  </w:style>
  <w:style w:type="character" w:customStyle="1" w:styleId="2Char">
    <w:name w:val="标题 2 Char"/>
    <w:basedOn w:val="a0"/>
    <w:link w:val="2"/>
    <w:uiPriority w:val="9"/>
    <w:rsid w:val="003C4C0E"/>
    <w:rPr>
      <w:rFonts w:ascii="宋体" w:eastAsia="宋体" w:hAnsi="宋体" w:cs="宋体"/>
      <w:b/>
      <w:bCs/>
      <w:kern w:val="0"/>
      <w:sz w:val="36"/>
      <w:szCs w:val="36"/>
    </w:rPr>
  </w:style>
  <w:style w:type="character" w:customStyle="1" w:styleId="3Char">
    <w:name w:val="标题 3 Char"/>
    <w:basedOn w:val="a0"/>
    <w:link w:val="3"/>
    <w:uiPriority w:val="9"/>
    <w:rsid w:val="003C4C0E"/>
    <w:rPr>
      <w:rFonts w:ascii="宋体" w:eastAsia="宋体" w:hAnsi="宋体" w:cs="宋体"/>
      <w:b/>
      <w:bCs/>
      <w:kern w:val="0"/>
      <w:sz w:val="27"/>
      <w:szCs w:val="27"/>
    </w:rPr>
  </w:style>
  <w:style w:type="character" w:styleId="a5">
    <w:name w:val="Hyperlink"/>
    <w:basedOn w:val="a0"/>
    <w:uiPriority w:val="99"/>
    <w:semiHidden/>
    <w:unhideWhenUsed/>
    <w:rsid w:val="003C4C0E"/>
    <w:rPr>
      <w:color w:val="0000FF"/>
      <w:u w:val="single"/>
    </w:rPr>
  </w:style>
  <w:style w:type="character" w:styleId="a6">
    <w:name w:val="FollowedHyperlink"/>
    <w:basedOn w:val="a0"/>
    <w:uiPriority w:val="99"/>
    <w:semiHidden/>
    <w:unhideWhenUsed/>
    <w:rsid w:val="003C4C0E"/>
    <w:rPr>
      <w:color w:val="800080"/>
      <w:u w:val="single"/>
    </w:rPr>
  </w:style>
  <w:style w:type="paragraph" w:styleId="a7">
    <w:name w:val="Normal (Web)"/>
    <w:basedOn w:val="a"/>
    <w:uiPriority w:val="99"/>
    <w:unhideWhenUsed/>
    <w:rsid w:val="003C4C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2303021">
      <w:bodyDiv w:val="1"/>
      <w:marLeft w:val="0"/>
      <w:marRight w:val="0"/>
      <w:marTop w:val="0"/>
      <w:marBottom w:val="0"/>
      <w:divBdr>
        <w:top w:val="none" w:sz="0" w:space="0" w:color="auto"/>
        <w:left w:val="none" w:sz="0" w:space="0" w:color="auto"/>
        <w:bottom w:val="none" w:sz="0" w:space="0" w:color="auto"/>
        <w:right w:val="none" w:sz="0" w:space="0" w:color="auto"/>
      </w:divBdr>
      <w:divsChild>
        <w:div w:id="2036272372">
          <w:marLeft w:val="0"/>
          <w:marRight w:val="0"/>
          <w:marTop w:val="0"/>
          <w:marBottom w:val="0"/>
          <w:divBdr>
            <w:top w:val="none" w:sz="0" w:space="0" w:color="auto"/>
            <w:left w:val="none" w:sz="0" w:space="0" w:color="auto"/>
            <w:bottom w:val="none" w:sz="0" w:space="0" w:color="auto"/>
            <w:right w:val="none" w:sz="0" w:space="0" w:color="auto"/>
          </w:divBdr>
        </w:div>
        <w:div w:id="198889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99fund.com/main/a/20190810/12611596.shtml?v=1565366635734" TargetMode="External"/><Relationship Id="rId3" Type="http://schemas.openxmlformats.org/officeDocument/2006/relationships/webSettings" Target="webSettings.xml"/><Relationship Id="rId7" Type="http://schemas.openxmlformats.org/officeDocument/2006/relationships/hyperlink" Target="http://www.99fund.com/main/a/20190810/12611596.shtml?v=15653666357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99fund.com/main/a/20190810/12611596.shtml?v=156536663573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1329</Words>
  <Characters>7577</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2019-08-12T05:35:00Z</dcterms:created>
  <dcterms:modified xsi:type="dcterms:W3CDTF">2019-08-12T05:36:00Z</dcterms:modified>
</cp:coreProperties>
</file>