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0C" w:rsidRPr="0042080C" w:rsidRDefault="0042080C" w:rsidP="0042080C">
      <w:pPr>
        <w:widowControl/>
        <w:shd w:val="clear" w:color="auto" w:fill="FFFFFF"/>
        <w:spacing w:line="384" w:lineRule="atLeast"/>
        <w:jc w:val="center"/>
        <w:outlineLvl w:val="3"/>
        <w:rPr>
          <w:rFonts w:ascii="Microsoft Yahei" w:eastAsia="宋体" w:hAnsi="Microsoft Yahei" w:cs="宋体"/>
          <w:kern w:val="0"/>
          <w:sz w:val="27"/>
          <w:szCs w:val="27"/>
        </w:rPr>
      </w:pPr>
      <w:proofErr w:type="gramStart"/>
      <w:r w:rsidRPr="0042080C">
        <w:rPr>
          <w:rFonts w:ascii="Microsoft Yahei" w:eastAsia="宋体" w:hAnsi="Microsoft Yahei" w:cs="宋体"/>
          <w:kern w:val="0"/>
          <w:sz w:val="27"/>
          <w:szCs w:val="27"/>
        </w:rPr>
        <w:t>天弘基金</w:t>
      </w:r>
      <w:proofErr w:type="gramEnd"/>
      <w:r w:rsidRPr="0042080C">
        <w:rPr>
          <w:rFonts w:ascii="Microsoft Yahei" w:eastAsia="宋体" w:hAnsi="Microsoft Yahei" w:cs="宋体"/>
          <w:kern w:val="0"/>
          <w:sz w:val="27"/>
          <w:szCs w:val="27"/>
        </w:rPr>
        <w:t>管理有限公司</w:t>
      </w:r>
      <w:proofErr w:type="gramStart"/>
      <w:r w:rsidRPr="0042080C">
        <w:rPr>
          <w:rFonts w:ascii="Microsoft Yahei" w:eastAsia="宋体" w:hAnsi="Microsoft Yahei" w:cs="宋体"/>
          <w:kern w:val="0"/>
          <w:sz w:val="27"/>
          <w:szCs w:val="27"/>
        </w:rPr>
        <w:t>关于天弘现金</w:t>
      </w:r>
      <w:proofErr w:type="gramEnd"/>
      <w:r w:rsidRPr="0042080C">
        <w:rPr>
          <w:rFonts w:ascii="Microsoft Yahei" w:eastAsia="宋体" w:hAnsi="Microsoft Yahei" w:cs="宋体"/>
          <w:kern w:val="0"/>
          <w:sz w:val="27"/>
          <w:szCs w:val="27"/>
        </w:rPr>
        <w:t>管家货币市场基金暂停机构投资者申购及定期定额投资业务的公告</w:t>
      </w:r>
    </w:p>
    <w:p w:rsidR="00134F82" w:rsidRPr="00134F82" w:rsidRDefault="0042080C" w:rsidP="00134F82">
      <w:pPr>
        <w:pStyle w:val="a5"/>
        <w:numPr>
          <w:ilvl w:val="0"/>
          <w:numId w:val="1"/>
        </w:numPr>
        <w:shd w:val="clear" w:color="auto" w:fill="FFFFFF"/>
        <w:spacing w:before="0" w:beforeAutospacing="0" w:after="420" w:afterAutospacing="0" w:line="555" w:lineRule="atLeast"/>
        <w:jc w:val="both"/>
        <w:rPr>
          <w:b/>
          <w:bCs/>
          <w:color w:val="000000"/>
        </w:rPr>
      </w:pPr>
      <w:r>
        <w:rPr>
          <w:rStyle w:val="a6"/>
          <w:rFonts w:hint="eastAsia"/>
          <w:color w:val="000000"/>
        </w:rPr>
        <w:t>公告基本信息</w:t>
      </w:r>
    </w:p>
    <w:tbl>
      <w:tblPr>
        <w:tblW w:w="10206" w:type="dxa"/>
        <w:tblInd w:w="-94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974"/>
        <w:gridCol w:w="2227"/>
        <w:gridCol w:w="1454"/>
        <w:gridCol w:w="1469"/>
        <w:gridCol w:w="1314"/>
        <w:gridCol w:w="1454"/>
        <w:gridCol w:w="1314"/>
      </w:tblGrid>
      <w:tr w:rsidR="0042080C" w:rsidTr="00134F82">
        <w:trPr>
          <w:trHeight w:val="705"/>
        </w:trPr>
        <w:tc>
          <w:tcPr>
            <w:tcW w:w="320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r>
              <w:rPr>
                <w:rFonts w:hint="eastAsia"/>
                <w:sz w:val="18"/>
                <w:szCs w:val="18"/>
              </w:rPr>
              <w:t>基金名称</w:t>
            </w:r>
          </w:p>
        </w:tc>
        <w:tc>
          <w:tcPr>
            <w:tcW w:w="7005" w:type="dxa"/>
            <w:gridSpan w:val="5"/>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proofErr w:type="gramStart"/>
            <w:r>
              <w:rPr>
                <w:rFonts w:hint="eastAsia"/>
                <w:sz w:val="18"/>
                <w:szCs w:val="18"/>
              </w:rPr>
              <w:t>天弘现金</w:t>
            </w:r>
            <w:proofErr w:type="gramEnd"/>
            <w:r>
              <w:rPr>
                <w:rFonts w:hint="eastAsia"/>
                <w:sz w:val="18"/>
                <w:szCs w:val="18"/>
              </w:rPr>
              <w:t>管家货币市场基金</w:t>
            </w:r>
          </w:p>
        </w:tc>
      </w:tr>
      <w:tr w:rsidR="0042080C" w:rsidTr="00134F82">
        <w:trPr>
          <w:trHeight w:val="705"/>
        </w:trPr>
        <w:tc>
          <w:tcPr>
            <w:tcW w:w="3201"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r>
              <w:rPr>
                <w:rFonts w:hint="eastAsia"/>
                <w:sz w:val="18"/>
                <w:szCs w:val="18"/>
              </w:rPr>
              <w:t>基金简称</w:t>
            </w:r>
          </w:p>
        </w:tc>
        <w:tc>
          <w:tcPr>
            <w:tcW w:w="700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proofErr w:type="gramStart"/>
            <w:r>
              <w:rPr>
                <w:rFonts w:hint="eastAsia"/>
                <w:sz w:val="18"/>
                <w:szCs w:val="18"/>
              </w:rPr>
              <w:t>天弘现金</w:t>
            </w:r>
            <w:proofErr w:type="gramEnd"/>
            <w:r>
              <w:rPr>
                <w:rFonts w:hint="eastAsia"/>
                <w:sz w:val="18"/>
                <w:szCs w:val="18"/>
              </w:rPr>
              <w:t>管家货币</w:t>
            </w:r>
          </w:p>
        </w:tc>
      </w:tr>
      <w:tr w:rsidR="0042080C" w:rsidTr="00134F82">
        <w:trPr>
          <w:trHeight w:val="705"/>
        </w:trPr>
        <w:tc>
          <w:tcPr>
            <w:tcW w:w="3201"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r>
              <w:rPr>
                <w:rFonts w:hint="eastAsia"/>
                <w:sz w:val="18"/>
                <w:szCs w:val="18"/>
              </w:rPr>
              <w:t>基金主代码</w:t>
            </w:r>
          </w:p>
        </w:tc>
        <w:tc>
          <w:tcPr>
            <w:tcW w:w="700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r>
              <w:rPr>
                <w:rFonts w:hint="eastAsia"/>
                <w:sz w:val="18"/>
                <w:szCs w:val="18"/>
              </w:rPr>
              <w:t>420006</w:t>
            </w:r>
          </w:p>
        </w:tc>
      </w:tr>
      <w:tr w:rsidR="0042080C" w:rsidTr="00134F82">
        <w:trPr>
          <w:trHeight w:val="705"/>
        </w:trPr>
        <w:tc>
          <w:tcPr>
            <w:tcW w:w="3201"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r>
              <w:rPr>
                <w:rFonts w:hint="eastAsia"/>
                <w:sz w:val="18"/>
                <w:szCs w:val="18"/>
              </w:rPr>
              <w:t>基金管理人名称</w:t>
            </w:r>
          </w:p>
        </w:tc>
        <w:tc>
          <w:tcPr>
            <w:tcW w:w="700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proofErr w:type="gramStart"/>
            <w:r>
              <w:rPr>
                <w:rFonts w:hint="eastAsia"/>
                <w:sz w:val="18"/>
                <w:szCs w:val="18"/>
              </w:rPr>
              <w:t>天弘基金</w:t>
            </w:r>
            <w:proofErr w:type="gramEnd"/>
            <w:r>
              <w:rPr>
                <w:rFonts w:hint="eastAsia"/>
                <w:sz w:val="18"/>
                <w:szCs w:val="18"/>
              </w:rPr>
              <w:t>管理有限公司</w:t>
            </w:r>
          </w:p>
        </w:tc>
      </w:tr>
      <w:tr w:rsidR="0042080C" w:rsidTr="00134F82">
        <w:trPr>
          <w:trHeight w:val="705"/>
        </w:trPr>
        <w:tc>
          <w:tcPr>
            <w:tcW w:w="3201"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r>
              <w:rPr>
                <w:rFonts w:hint="eastAsia"/>
                <w:sz w:val="18"/>
                <w:szCs w:val="18"/>
              </w:rPr>
              <w:t>公告依据</w:t>
            </w:r>
          </w:p>
        </w:tc>
        <w:tc>
          <w:tcPr>
            <w:tcW w:w="700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r>
              <w:rPr>
                <w:rFonts w:hint="eastAsia"/>
                <w:sz w:val="18"/>
                <w:szCs w:val="18"/>
              </w:rPr>
              <w:t>根据法律法规及《天弘现金管家货币市场基金基金合同》、《天弘现金管家货币市场基金招募说明书》等相关规定</w:t>
            </w:r>
          </w:p>
        </w:tc>
      </w:tr>
      <w:tr w:rsidR="0042080C" w:rsidTr="00134F82">
        <w:trPr>
          <w:trHeight w:val="705"/>
        </w:trPr>
        <w:tc>
          <w:tcPr>
            <w:tcW w:w="974"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r>
              <w:rPr>
                <w:rFonts w:hint="eastAsia"/>
                <w:sz w:val="18"/>
                <w:szCs w:val="18"/>
              </w:rPr>
              <w:t>暂停相关业务的起始日及原因说明</w:t>
            </w:r>
          </w:p>
        </w:tc>
        <w:tc>
          <w:tcPr>
            <w:tcW w:w="22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r>
              <w:rPr>
                <w:rFonts w:hint="eastAsia"/>
                <w:sz w:val="18"/>
                <w:szCs w:val="18"/>
              </w:rPr>
              <w:t>暂停申购起始日</w:t>
            </w:r>
          </w:p>
        </w:tc>
        <w:tc>
          <w:tcPr>
            <w:tcW w:w="700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r>
              <w:rPr>
                <w:rFonts w:hint="eastAsia"/>
                <w:sz w:val="18"/>
                <w:szCs w:val="18"/>
              </w:rPr>
              <w:t>2018年11月14日</w:t>
            </w:r>
          </w:p>
        </w:tc>
      </w:tr>
      <w:tr w:rsidR="0042080C" w:rsidTr="00134F82">
        <w:trPr>
          <w:trHeight w:val="70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2080C" w:rsidRDefault="0042080C">
            <w:pPr>
              <w:rPr>
                <w:rFonts w:ascii="Microsoft Yahei" w:eastAsia="宋体" w:hAnsi="Microsoft Yahei" w:cs="宋体"/>
                <w:sz w:val="18"/>
                <w:szCs w:val="18"/>
              </w:rPr>
            </w:pPr>
          </w:p>
        </w:tc>
        <w:tc>
          <w:tcPr>
            <w:tcW w:w="22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r>
              <w:rPr>
                <w:rFonts w:hint="eastAsia"/>
                <w:sz w:val="18"/>
                <w:szCs w:val="18"/>
              </w:rPr>
              <w:t>暂停定期定额投资起始日</w:t>
            </w:r>
          </w:p>
        </w:tc>
        <w:tc>
          <w:tcPr>
            <w:tcW w:w="700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r>
              <w:rPr>
                <w:rFonts w:hint="eastAsia"/>
                <w:sz w:val="18"/>
                <w:szCs w:val="18"/>
              </w:rPr>
              <w:t>2018年11月14日</w:t>
            </w:r>
          </w:p>
        </w:tc>
      </w:tr>
      <w:tr w:rsidR="0042080C" w:rsidTr="00134F82">
        <w:trPr>
          <w:trHeight w:val="70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2080C" w:rsidRDefault="0042080C">
            <w:pPr>
              <w:rPr>
                <w:rFonts w:ascii="Microsoft Yahei" w:eastAsia="宋体" w:hAnsi="Microsoft Yahei" w:cs="宋体"/>
                <w:sz w:val="18"/>
                <w:szCs w:val="18"/>
              </w:rPr>
            </w:pPr>
          </w:p>
        </w:tc>
        <w:tc>
          <w:tcPr>
            <w:tcW w:w="22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r>
              <w:rPr>
                <w:rFonts w:hint="eastAsia"/>
                <w:sz w:val="18"/>
                <w:szCs w:val="18"/>
              </w:rPr>
              <w:t>暂停申购、定期定额投资业务的原因说明</w:t>
            </w:r>
          </w:p>
        </w:tc>
        <w:tc>
          <w:tcPr>
            <w:tcW w:w="700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both"/>
              <w:rPr>
                <w:rFonts w:ascii="Microsoft Yahei" w:hAnsi="Microsoft Yahei" w:hint="eastAsia"/>
                <w:sz w:val="18"/>
                <w:szCs w:val="18"/>
              </w:rPr>
            </w:pPr>
            <w:r>
              <w:rPr>
                <w:rFonts w:hint="eastAsia"/>
                <w:sz w:val="18"/>
                <w:szCs w:val="18"/>
              </w:rPr>
              <w:t>为了保证基金的平稳运作，更好地保护基金份额持有人利益。</w:t>
            </w:r>
          </w:p>
          <w:p w:rsidR="0042080C" w:rsidRDefault="0042080C">
            <w:pPr>
              <w:pStyle w:val="a5"/>
              <w:spacing w:before="0" w:beforeAutospacing="0" w:after="420" w:afterAutospacing="0" w:line="342" w:lineRule="atLeast"/>
              <w:jc w:val="both"/>
              <w:rPr>
                <w:rFonts w:ascii="Microsoft Yahei" w:hAnsi="Microsoft Yahei"/>
                <w:sz w:val="18"/>
                <w:szCs w:val="18"/>
              </w:rPr>
            </w:pPr>
            <w:r>
              <w:rPr>
                <w:rFonts w:hint="eastAsia"/>
                <w:sz w:val="18"/>
                <w:szCs w:val="18"/>
              </w:rPr>
              <w:t> </w:t>
            </w:r>
          </w:p>
        </w:tc>
      </w:tr>
      <w:tr w:rsidR="0042080C" w:rsidTr="00134F82">
        <w:trPr>
          <w:trHeight w:val="705"/>
        </w:trPr>
        <w:tc>
          <w:tcPr>
            <w:tcW w:w="3201" w:type="dxa"/>
            <w:gridSpan w:val="2"/>
            <w:tcBorders>
              <w:top w:val="nil"/>
              <w:left w:val="single" w:sz="6" w:space="0" w:color="auto"/>
              <w:bottom w:val="single" w:sz="6" w:space="0" w:color="auto"/>
              <w:right w:val="single" w:sz="6" w:space="0" w:color="auto"/>
            </w:tcBorders>
            <w:shd w:val="clear" w:color="auto" w:fill="FFFFFF"/>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r>
              <w:rPr>
                <w:rFonts w:hint="eastAsia"/>
                <w:sz w:val="18"/>
                <w:szCs w:val="18"/>
              </w:rPr>
              <w:t>下属分级基金的简称</w:t>
            </w:r>
          </w:p>
        </w:tc>
        <w:tc>
          <w:tcPr>
            <w:tcW w:w="145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proofErr w:type="gramStart"/>
            <w:r>
              <w:rPr>
                <w:rFonts w:hint="eastAsia"/>
                <w:sz w:val="18"/>
                <w:szCs w:val="18"/>
              </w:rPr>
              <w:t>天弘现金</w:t>
            </w:r>
            <w:proofErr w:type="gramEnd"/>
            <w:r>
              <w:rPr>
                <w:rFonts w:hint="eastAsia"/>
                <w:sz w:val="18"/>
                <w:szCs w:val="18"/>
              </w:rPr>
              <w:t>管家货币A类</w:t>
            </w:r>
          </w:p>
        </w:tc>
        <w:tc>
          <w:tcPr>
            <w:tcW w:w="1469" w:type="dxa"/>
            <w:tcBorders>
              <w:top w:val="nil"/>
              <w:left w:val="nil"/>
              <w:bottom w:val="single" w:sz="6" w:space="0" w:color="auto"/>
              <w:right w:val="single" w:sz="6" w:space="0" w:color="auto"/>
            </w:tcBorders>
            <w:shd w:val="clear" w:color="auto" w:fill="FFFFFF"/>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proofErr w:type="gramStart"/>
            <w:r>
              <w:rPr>
                <w:rFonts w:hint="eastAsia"/>
                <w:sz w:val="18"/>
                <w:szCs w:val="18"/>
              </w:rPr>
              <w:t>天弘现金</w:t>
            </w:r>
            <w:proofErr w:type="gramEnd"/>
            <w:r>
              <w:rPr>
                <w:rFonts w:hint="eastAsia"/>
                <w:sz w:val="18"/>
                <w:szCs w:val="18"/>
              </w:rPr>
              <w:t>管家货币B类</w:t>
            </w:r>
          </w:p>
        </w:tc>
        <w:tc>
          <w:tcPr>
            <w:tcW w:w="1314" w:type="dxa"/>
            <w:tcBorders>
              <w:top w:val="nil"/>
              <w:left w:val="nil"/>
              <w:bottom w:val="single" w:sz="6" w:space="0" w:color="auto"/>
              <w:right w:val="single" w:sz="6" w:space="0" w:color="auto"/>
            </w:tcBorders>
            <w:shd w:val="clear" w:color="auto" w:fill="FFFFFF"/>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proofErr w:type="gramStart"/>
            <w:r>
              <w:rPr>
                <w:rFonts w:hint="eastAsia"/>
                <w:sz w:val="18"/>
                <w:szCs w:val="18"/>
              </w:rPr>
              <w:t>天弘现金</w:t>
            </w:r>
            <w:proofErr w:type="gramEnd"/>
            <w:r>
              <w:rPr>
                <w:rFonts w:hint="eastAsia"/>
                <w:sz w:val="18"/>
                <w:szCs w:val="18"/>
              </w:rPr>
              <w:t>管家货币C类</w:t>
            </w:r>
          </w:p>
        </w:tc>
        <w:tc>
          <w:tcPr>
            <w:tcW w:w="1454" w:type="dxa"/>
            <w:tcBorders>
              <w:top w:val="nil"/>
              <w:left w:val="nil"/>
              <w:bottom w:val="single" w:sz="6" w:space="0" w:color="auto"/>
              <w:right w:val="single" w:sz="6" w:space="0" w:color="auto"/>
            </w:tcBorders>
            <w:shd w:val="clear" w:color="auto" w:fill="FFFFFF"/>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proofErr w:type="gramStart"/>
            <w:r>
              <w:rPr>
                <w:rFonts w:hint="eastAsia"/>
                <w:sz w:val="18"/>
                <w:szCs w:val="18"/>
              </w:rPr>
              <w:t>天弘现金</w:t>
            </w:r>
            <w:proofErr w:type="gramEnd"/>
            <w:r>
              <w:rPr>
                <w:rFonts w:hint="eastAsia"/>
                <w:sz w:val="18"/>
                <w:szCs w:val="18"/>
              </w:rPr>
              <w:t>管家货币D类</w:t>
            </w:r>
          </w:p>
        </w:tc>
        <w:tc>
          <w:tcPr>
            <w:tcW w:w="1314" w:type="dxa"/>
            <w:tcBorders>
              <w:top w:val="nil"/>
              <w:left w:val="nil"/>
              <w:bottom w:val="single" w:sz="6" w:space="0" w:color="auto"/>
              <w:right w:val="single" w:sz="6" w:space="0" w:color="auto"/>
            </w:tcBorders>
            <w:shd w:val="clear" w:color="auto" w:fill="FFFFFF"/>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proofErr w:type="gramStart"/>
            <w:r>
              <w:rPr>
                <w:rFonts w:hint="eastAsia"/>
                <w:sz w:val="18"/>
                <w:szCs w:val="18"/>
              </w:rPr>
              <w:t>天弘现金</w:t>
            </w:r>
            <w:proofErr w:type="gramEnd"/>
            <w:r>
              <w:rPr>
                <w:rFonts w:hint="eastAsia"/>
                <w:sz w:val="18"/>
                <w:szCs w:val="18"/>
              </w:rPr>
              <w:t>管家货币E类</w:t>
            </w:r>
          </w:p>
        </w:tc>
      </w:tr>
      <w:tr w:rsidR="0042080C" w:rsidTr="00134F82">
        <w:trPr>
          <w:trHeight w:val="705"/>
        </w:trPr>
        <w:tc>
          <w:tcPr>
            <w:tcW w:w="3201" w:type="dxa"/>
            <w:gridSpan w:val="2"/>
            <w:tcBorders>
              <w:top w:val="nil"/>
              <w:left w:val="single" w:sz="6" w:space="0" w:color="auto"/>
              <w:bottom w:val="single" w:sz="6" w:space="0" w:color="auto"/>
              <w:right w:val="single" w:sz="6" w:space="0" w:color="auto"/>
            </w:tcBorders>
            <w:shd w:val="clear" w:color="auto" w:fill="FFFFFF"/>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r>
              <w:rPr>
                <w:rFonts w:hint="eastAsia"/>
                <w:sz w:val="18"/>
                <w:szCs w:val="18"/>
              </w:rPr>
              <w:t>下属分级基金的交易代码</w:t>
            </w:r>
          </w:p>
        </w:tc>
        <w:tc>
          <w:tcPr>
            <w:tcW w:w="145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center"/>
              <w:rPr>
                <w:rFonts w:ascii="Microsoft Yahei" w:hAnsi="Microsoft Yahei"/>
                <w:sz w:val="18"/>
                <w:szCs w:val="18"/>
              </w:rPr>
            </w:pPr>
            <w:r>
              <w:rPr>
                <w:rFonts w:hint="eastAsia"/>
                <w:sz w:val="18"/>
                <w:szCs w:val="18"/>
              </w:rPr>
              <w:t>420006</w:t>
            </w:r>
          </w:p>
        </w:tc>
        <w:tc>
          <w:tcPr>
            <w:tcW w:w="1469" w:type="dxa"/>
            <w:tcBorders>
              <w:top w:val="nil"/>
              <w:left w:val="nil"/>
              <w:bottom w:val="single" w:sz="6" w:space="0" w:color="auto"/>
              <w:right w:val="single" w:sz="6" w:space="0" w:color="auto"/>
            </w:tcBorders>
            <w:shd w:val="clear" w:color="auto" w:fill="FFFFFF"/>
            <w:vAlign w:val="center"/>
            <w:hideMark/>
          </w:tcPr>
          <w:p w:rsidR="0042080C" w:rsidRDefault="0042080C">
            <w:pPr>
              <w:pStyle w:val="a5"/>
              <w:spacing w:before="0" w:beforeAutospacing="0" w:after="420" w:afterAutospacing="0" w:line="342" w:lineRule="atLeast"/>
              <w:jc w:val="center"/>
              <w:rPr>
                <w:rFonts w:ascii="Microsoft Yahei" w:hAnsi="Microsoft Yahei"/>
                <w:sz w:val="18"/>
                <w:szCs w:val="18"/>
              </w:rPr>
            </w:pPr>
            <w:r>
              <w:rPr>
                <w:rFonts w:hint="eastAsia"/>
                <w:sz w:val="18"/>
                <w:szCs w:val="18"/>
              </w:rPr>
              <w:t>420106</w:t>
            </w:r>
          </w:p>
        </w:tc>
        <w:tc>
          <w:tcPr>
            <w:tcW w:w="1314" w:type="dxa"/>
            <w:tcBorders>
              <w:top w:val="nil"/>
              <w:left w:val="nil"/>
              <w:bottom w:val="single" w:sz="6" w:space="0" w:color="auto"/>
              <w:right w:val="single" w:sz="6" w:space="0" w:color="auto"/>
            </w:tcBorders>
            <w:shd w:val="clear" w:color="auto" w:fill="FFFFFF"/>
            <w:vAlign w:val="center"/>
            <w:hideMark/>
          </w:tcPr>
          <w:p w:rsidR="0042080C" w:rsidRDefault="0042080C">
            <w:pPr>
              <w:pStyle w:val="a5"/>
              <w:spacing w:before="0" w:beforeAutospacing="0" w:after="420" w:afterAutospacing="0" w:line="342" w:lineRule="atLeast"/>
              <w:jc w:val="center"/>
              <w:rPr>
                <w:rFonts w:ascii="Microsoft Yahei" w:hAnsi="Microsoft Yahei"/>
                <w:sz w:val="18"/>
                <w:szCs w:val="18"/>
              </w:rPr>
            </w:pPr>
            <w:r>
              <w:rPr>
                <w:rFonts w:hint="eastAsia"/>
                <w:sz w:val="18"/>
                <w:szCs w:val="18"/>
              </w:rPr>
              <w:t>000832</w:t>
            </w:r>
          </w:p>
        </w:tc>
        <w:tc>
          <w:tcPr>
            <w:tcW w:w="1454" w:type="dxa"/>
            <w:tcBorders>
              <w:top w:val="nil"/>
              <w:left w:val="nil"/>
              <w:bottom w:val="single" w:sz="6" w:space="0" w:color="auto"/>
              <w:right w:val="single" w:sz="6" w:space="0" w:color="auto"/>
            </w:tcBorders>
            <w:shd w:val="clear" w:color="auto" w:fill="FFFFFF"/>
            <w:vAlign w:val="center"/>
            <w:hideMark/>
          </w:tcPr>
          <w:p w:rsidR="0042080C" w:rsidRDefault="0042080C">
            <w:pPr>
              <w:pStyle w:val="a5"/>
              <w:spacing w:before="0" w:beforeAutospacing="0" w:after="420" w:afterAutospacing="0" w:line="342" w:lineRule="atLeast"/>
              <w:jc w:val="center"/>
              <w:rPr>
                <w:rFonts w:ascii="Microsoft Yahei" w:hAnsi="Microsoft Yahei"/>
                <w:sz w:val="18"/>
                <w:szCs w:val="18"/>
              </w:rPr>
            </w:pPr>
            <w:r>
              <w:rPr>
                <w:rFonts w:hint="eastAsia"/>
                <w:sz w:val="18"/>
                <w:szCs w:val="18"/>
              </w:rPr>
              <w:t>001251</w:t>
            </w:r>
          </w:p>
        </w:tc>
        <w:tc>
          <w:tcPr>
            <w:tcW w:w="1314" w:type="dxa"/>
            <w:tcBorders>
              <w:top w:val="nil"/>
              <w:left w:val="nil"/>
              <w:bottom w:val="single" w:sz="6" w:space="0" w:color="auto"/>
              <w:right w:val="single" w:sz="6" w:space="0" w:color="auto"/>
            </w:tcBorders>
            <w:shd w:val="clear" w:color="auto" w:fill="FFFFFF"/>
            <w:vAlign w:val="center"/>
            <w:hideMark/>
          </w:tcPr>
          <w:p w:rsidR="0042080C" w:rsidRDefault="0042080C">
            <w:pPr>
              <w:pStyle w:val="a5"/>
              <w:spacing w:before="0" w:beforeAutospacing="0" w:after="420" w:afterAutospacing="0" w:line="342" w:lineRule="atLeast"/>
              <w:jc w:val="center"/>
              <w:rPr>
                <w:rFonts w:ascii="Microsoft Yahei" w:hAnsi="Microsoft Yahei"/>
                <w:sz w:val="18"/>
                <w:szCs w:val="18"/>
              </w:rPr>
            </w:pPr>
            <w:r>
              <w:rPr>
                <w:rFonts w:hint="eastAsia"/>
                <w:sz w:val="18"/>
                <w:szCs w:val="18"/>
              </w:rPr>
              <w:t>002847</w:t>
            </w:r>
          </w:p>
        </w:tc>
      </w:tr>
      <w:tr w:rsidR="0042080C" w:rsidTr="00134F82">
        <w:trPr>
          <w:trHeight w:val="705"/>
        </w:trPr>
        <w:tc>
          <w:tcPr>
            <w:tcW w:w="3201" w:type="dxa"/>
            <w:gridSpan w:val="2"/>
            <w:tcBorders>
              <w:top w:val="nil"/>
              <w:left w:val="single" w:sz="6" w:space="0" w:color="auto"/>
              <w:bottom w:val="single" w:sz="6" w:space="0" w:color="auto"/>
              <w:right w:val="single" w:sz="6" w:space="0" w:color="auto"/>
            </w:tcBorders>
            <w:shd w:val="clear" w:color="auto" w:fill="FFFFFF"/>
            <w:vAlign w:val="center"/>
            <w:hideMark/>
          </w:tcPr>
          <w:p w:rsidR="0042080C" w:rsidRDefault="0042080C">
            <w:pPr>
              <w:pStyle w:val="a5"/>
              <w:spacing w:before="0" w:beforeAutospacing="0" w:after="420" w:afterAutospacing="0" w:line="342" w:lineRule="atLeast"/>
              <w:jc w:val="both"/>
              <w:rPr>
                <w:rFonts w:ascii="Microsoft Yahei" w:hAnsi="Microsoft Yahei"/>
                <w:sz w:val="18"/>
                <w:szCs w:val="18"/>
              </w:rPr>
            </w:pPr>
            <w:r>
              <w:rPr>
                <w:rFonts w:hint="eastAsia"/>
                <w:sz w:val="18"/>
                <w:szCs w:val="18"/>
              </w:rPr>
              <w:t>该分级基金是否暂停申购、定期定额投资</w:t>
            </w:r>
          </w:p>
        </w:tc>
        <w:tc>
          <w:tcPr>
            <w:tcW w:w="145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2080C" w:rsidRDefault="0042080C">
            <w:pPr>
              <w:pStyle w:val="a5"/>
              <w:spacing w:before="0" w:beforeAutospacing="0" w:after="420" w:afterAutospacing="0" w:line="342" w:lineRule="atLeast"/>
              <w:jc w:val="center"/>
              <w:rPr>
                <w:rFonts w:ascii="Microsoft Yahei" w:hAnsi="Microsoft Yahei"/>
                <w:sz w:val="18"/>
                <w:szCs w:val="18"/>
              </w:rPr>
            </w:pPr>
            <w:r>
              <w:rPr>
                <w:rFonts w:hint="eastAsia"/>
                <w:sz w:val="18"/>
                <w:szCs w:val="18"/>
              </w:rPr>
              <w:t>是</w:t>
            </w:r>
          </w:p>
        </w:tc>
        <w:tc>
          <w:tcPr>
            <w:tcW w:w="1469" w:type="dxa"/>
            <w:tcBorders>
              <w:top w:val="nil"/>
              <w:left w:val="nil"/>
              <w:bottom w:val="single" w:sz="6" w:space="0" w:color="auto"/>
              <w:right w:val="single" w:sz="6" w:space="0" w:color="auto"/>
            </w:tcBorders>
            <w:shd w:val="clear" w:color="auto" w:fill="FFFFFF"/>
            <w:vAlign w:val="center"/>
            <w:hideMark/>
          </w:tcPr>
          <w:p w:rsidR="0042080C" w:rsidRDefault="0042080C">
            <w:pPr>
              <w:pStyle w:val="a5"/>
              <w:spacing w:before="0" w:beforeAutospacing="0" w:after="420" w:afterAutospacing="0" w:line="342" w:lineRule="atLeast"/>
              <w:jc w:val="center"/>
              <w:rPr>
                <w:rFonts w:ascii="Microsoft Yahei" w:hAnsi="Microsoft Yahei"/>
                <w:sz w:val="18"/>
                <w:szCs w:val="18"/>
              </w:rPr>
            </w:pPr>
            <w:r>
              <w:rPr>
                <w:rFonts w:hint="eastAsia"/>
                <w:sz w:val="18"/>
                <w:szCs w:val="18"/>
              </w:rPr>
              <w:t>是</w:t>
            </w:r>
          </w:p>
        </w:tc>
        <w:tc>
          <w:tcPr>
            <w:tcW w:w="1314" w:type="dxa"/>
            <w:tcBorders>
              <w:top w:val="nil"/>
              <w:left w:val="nil"/>
              <w:bottom w:val="single" w:sz="6" w:space="0" w:color="auto"/>
              <w:right w:val="single" w:sz="6" w:space="0" w:color="auto"/>
            </w:tcBorders>
            <w:shd w:val="clear" w:color="auto" w:fill="FFFFFF"/>
            <w:vAlign w:val="center"/>
            <w:hideMark/>
          </w:tcPr>
          <w:p w:rsidR="0042080C" w:rsidRDefault="0042080C">
            <w:pPr>
              <w:pStyle w:val="a5"/>
              <w:spacing w:before="0" w:beforeAutospacing="0" w:after="420" w:afterAutospacing="0" w:line="342" w:lineRule="atLeast"/>
              <w:jc w:val="center"/>
              <w:rPr>
                <w:rFonts w:ascii="Microsoft Yahei" w:hAnsi="Microsoft Yahei"/>
                <w:sz w:val="18"/>
                <w:szCs w:val="18"/>
              </w:rPr>
            </w:pPr>
            <w:r>
              <w:rPr>
                <w:rFonts w:hint="eastAsia"/>
                <w:sz w:val="18"/>
                <w:szCs w:val="18"/>
              </w:rPr>
              <w:t>是</w:t>
            </w:r>
          </w:p>
        </w:tc>
        <w:tc>
          <w:tcPr>
            <w:tcW w:w="1454" w:type="dxa"/>
            <w:tcBorders>
              <w:top w:val="nil"/>
              <w:left w:val="nil"/>
              <w:bottom w:val="single" w:sz="6" w:space="0" w:color="auto"/>
              <w:right w:val="single" w:sz="6" w:space="0" w:color="auto"/>
            </w:tcBorders>
            <w:shd w:val="clear" w:color="auto" w:fill="FFFFFF"/>
            <w:vAlign w:val="center"/>
            <w:hideMark/>
          </w:tcPr>
          <w:p w:rsidR="0042080C" w:rsidRDefault="0042080C">
            <w:pPr>
              <w:pStyle w:val="a5"/>
              <w:spacing w:before="0" w:beforeAutospacing="0" w:after="420" w:afterAutospacing="0" w:line="342" w:lineRule="atLeast"/>
              <w:jc w:val="center"/>
              <w:rPr>
                <w:rFonts w:ascii="Microsoft Yahei" w:hAnsi="Microsoft Yahei"/>
                <w:sz w:val="18"/>
                <w:szCs w:val="18"/>
              </w:rPr>
            </w:pPr>
            <w:r>
              <w:rPr>
                <w:rFonts w:hint="eastAsia"/>
                <w:sz w:val="18"/>
                <w:szCs w:val="18"/>
              </w:rPr>
              <w:t>是</w:t>
            </w:r>
          </w:p>
        </w:tc>
        <w:tc>
          <w:tcPr>
            <w:tcW w:w="1314" w:type="dxa"/>
            <w:tcBorders>
              <w:top w:val="nil"/>
              <w:left w:val="nil"/>
              <w:bottom w:val="single" w:sz="6" w:space="0" w:color="auto"/>
              <w:right w:val="single" w:sz="6" w:space="0" w:color="auto"/>
            </w:tcBorders>
            <w:shd w:val="clear" w:color="auto" w:fill="FFFFFF"/>
            <w:vAlign w:val="center"/>
            <w:hideMark/>
          </w:tcPr>
          <w:p w:rsidR="0042080C" w:rsidRDefault="0042080C">
            <w:pPr>
              <w:pStyle w:val="a5"/>
              <w:spacing w:before="0" w:beforeAutospacing="0" w:after="420" w:afterAutospacing="0" w:line="342" w:lineRule="atLeast"/>
              <w:jc w:val="center"/>
              <w:rPr>
                <w:rFonts w:ascii="Microsoft Yahei" w:hAnsi="Microsoft Yahei"/>
                <w:sz w:val="18"/>
                <w:szCs w:val="18"/>
              </w:rPr>
            </w:pPr>
            <w:r>
              <w:rPr>
                <w:rFonts w:hint="eastAsia"/>
                <w:sz w:val="18"/>
                <w:szCs w:val="18"/>
              </w:rPr>
              <w:t>是</w:t>
            </w:r>
          </w:p>
        </w:tc>
      </w:tr>
    </w:tbl>
    <w:p w:rsidR="0042080C" w:rsidRDefault="0042080C" w:rsidP="0042080C">
      <w:pPr>
        <w:pStyle w:val="3"/>
        <w:shd w:val="clear" w:color="auto" w:fill="FFFFFF"/>
        <w:spacing w:before="0" w:after="0"/>
        <w:ind w:firstLine="360"/>
        <w:rPr>
          <w:rFonts w:ascii="Microsoft Yahei" w:hAnsi="Microsoft Yahei"/>
          <w:color w:val="333333"/>
          <w:sz w:val="24"/>
          <w:szCs w:val="24"/>
        </w:rPr>
      </w:pPr>
      <w:r>
        <w:rPr>
          <w:rFonts w:hint="eastAsia"/>
          <w:color w:val="333333"/>
          <w:sz w:val="18"/>
          <w:szCs w:val="18"/>
          <w:bdr w:val="none" w:sz="0" w:space="0" w:color="auto" w:frame="1"/>
        </w:rPr>
        <w:lastRenderedPageBreak/>
        <w:t>2</w:t>
      </w:r>
      <w:r>
        <w:rPr>
          <w:rFonts w:hint="eastAsia"/>
          <w:color w:val="333333"/>
          <w:sz w:val="18"/>
          <w:szCs w:val="18"/>
          <w:bdr w:val="none" w:sz="0" w:space="0" w:color="auto" w:frame="1"/>
        </w:rPr>
        <w:t>、</w:t>
      </w:r>
      <w:r>
        <w:rPr>
          <w:rFonts w:hint="eastAsia"/>
          <w:color w:val="333333"/>
          <w:sz w:val="18"/>
          <w:szCs w:val="18"/>
        </w:rPr>
        <w:t>其他需要提示的事项</w:t>
      </w:r>
    </w:p>
    <w:p w:rsidR="0042080C" w:rsidRDefault="0042080C" w:rsidP="0042080C">
      <w:pPr>
        <w:pStyle w:val="a5"/>
        <w:shd w:val="clear" w:color="auto" w:fill="FFFFFF"/>
        <w:spacing w:before="0" w:beforeAutospacing="0" w:after="420" w:afterAutospacing="0" w:line="399" w:lineRule="atLeast"/>
        <w:ind w:firstLine="270"/>
        <w:jc w:val="both"/>
        <w:rPr>
          <w:rFonts w:ascii="Microsoft Yahei" w:hAnsi="Microsoft Yahei"/>
          <w:sz w:val="21"/>
          <w:szCs w:val="21"/>
        </w:rPr>
      </w:pPr>
      <w:r>
        <w:rPr>
          <w:rFonts w:hint="eastAsia"/>
          <w:sz w:val="18"/>
          <w:szCs w:val="18"/>
        </w:rPr>
        <w:t>（1）本公司决定自2018年11月14日起，</w:t>
      </w:r>
      <w:proofErr w:type="gramStart"/>
      <w:r>
        <w:rPr>
          <w:rFonts w:hint="eastAsia"/>
          <w:sz w:val="18"/>
          <w:szCs w:val="18"/>
        </w:rPr>
        <w:t>暂停天弘现金</w:t>
      </w:r>
      <w:proofErr w:type="gramEnd"/>
      <w:r>
        <w:rPr>
          <w:rFonts w:hint="eastAsia"/>
          <w:sz w:val="18"/>
          <w:szCs w:val="18"/>
        </w:rPr>
        <w:t>管家货币市场基金（以下简称“本基金”）A类基金份额、B类基金份额、C类基金份额、D类基金份额、E类基金份额机构投资者的申购（含定期定额投资，下同）业务申请；恢复办理机构投资者申购业务的具体时间，本公司将另行公告。</w:t>
      </w:r>
    </w:p>
    <w:p w:rsidR="0042080C" w:rsidRDefault="0042080C" w:rsidP="0042080C">
      <w:pPr>
        <w:pStyle w:val="a5"/>
        <w:shd w:val="clear" w:color="auto" w:fill="FFFFFF"/>
        <w:spacing w:before="0" w:beforeAutospacing="0" w:after="420" w:afterAutospacing="0" w:line="399" w:lineRule="atLeast"/>
        <w:ind w:firstLine="270"/>
        <w:jc w:val="both"/>
        <w:rPr>
          <w:rFonts w:ascii="Microsoft Yahei" w:hAnsi="Microsoft Yahei"/>
          <w:sz w:val="21"/>
          <w:szCs w:val="21"/>
        </w:rPr>
      </w:pPr>
      <w:r>
        <w:rPr>
          <w:rFonts w:hint="eastAsia"/>
          <w:sz w:val="18"/>
          <w:szCs w:val="18"/>
        </w:rPr>
        <w:t>（2）本基金A类基金份额、B类基金份额、C类基金份额、D类基金份额、E类基金份额个人投资者的申购业务仍正常办理。</w:t>
      </w:r>
    </w:p>
    <w:p w:rsidR="0042080C" w:rsidRDefault="0042080C" w:rsidP="0042080C">
      <w:pPr>
        <w:pStyle w:val="a5"/>
        <w:shd w:val="clear" w:color="auto" w:fill="FFFFFF"/>
        <w:spacing w:before="0" w:beforeAutospacing="0" w:after="420" w:afterAutospacing="0" w:line="399" w:lineRule="atLeast"/>
        <w:ind w:firstLine="270"/>
        <w:jc w:val="both"/>
        <w:rPr>
          <w:rFonts w:ascii="Microsoft Yahei" w:hAnsi="Microsoft Yahei"/>
          <w:sz w:val="21"/>
          <w:szCs w:val="21"/>
        </w:rPr>
      </w:pPr>
      <w:r>
        <w:rPr>
          <w:rFonts w:hint="eastAsia"/>
          <w:sz w:val="18"/>
          <w:szCs w:val="18"/>
        </w:rPr>
        <w:t>（3）本基金转换（含转换转入、转换转出）、赎回等其他业务以及本基金管理人管理的其他开放式基金的各项交易业务不受影响，仍正常办理。</w:t>
      </w:r>
    </w:p>
    <w:p w:rsidR="0042080C" w:rsidRDefault="0042080C" w:rsidP="0042080C">
      <w:pPr>
        <w:pStyle w:val="a5"/>
        <w:shd w:val="clear" w:color="auto" w:fill="FFFFFF"/>
        <w:spacing w:before="0" w:beforeAutospacing="0" w:after="420" w:afterAutospacing="0" w:line="399" w:lineRule="atLeast"/>
        <w:ind w:firstLine="270"/>
        <w:jc w:val="both"/>
        <w:rPr>
          <w:rFonts w:ascii="Microsoft Yahei" w:hAnsi="Microsoft Yahei"/>
          <w:sz w:val="21"/>
          <w:szCs w:val="21"/>
        </w:rPr>
      </w:pPr>
      <w:r>
        <w:rPr>
          <w:rFonts w:hint="eastAsia"/>
          <w:sz w:val="18"/>
          <w:szCs w:val="18"/>
        </w:rPr>
        <w:t>（4）投资者可登录本公司网站（www.thfund.com.cn）查询相关信息或拨打客户服务电话（95046）咨询相关事宜。</w:t>
      </w:r>
    </w:p>
    <w:p w:rsidR="0042080C" w:rsidRDefault="0042080C" w:rsidP="0042080C">
      <w:pPr>
        <w:pStyle w:val="a5"/>
        <w:shd w:val="clear" w:color="auto" w:fill="FFFFFF"/>
        <w:spacing w:before="0" w:beforeAutospacing="0" w:after="420" w:afterAutospacing="0" w:line="399" w:lineRule="atLeast"/>
        <w:ind w:firstLine="240"/>
        <w:jc w:val="both"/>
        <w:rPr>
          <w:rFonts w:ascii="Microsoft Yahei" w:hAnsi="Microsoft Yahei"/>
          <w:sz w:val="21"/>
          <w:szCs w:val="21"/>
        </w:rPr>
      </w:pPr>
      <w:r>
        <w:rPr>
          <w:rFonts w:hint="eastAsia"/>
          <w:sz w:val="18"/>
          <w:szCs w:val="18"/>
        </w:rPr>
        <w:t> </w:t>
      </w:r>
    </w:p>
    <w:p w:rsidR="0042080C" w:rsidRDefault="0042080C" w:rsidP="0042080C">
      <w:pPr>
        <w:pStyle w:val="a5"/>
        <w:shd w:val="clear" w:color="auto" w:fill="FFFFFF"/>
        <w:spacing w:before="0" w:beforeAutospacing="0" w:after="420" w:afterAutospacing="0" w:line="399" w:lineRule="atLeast"/>
        <w:ind w:firstLine="240"/>
        <w:jc w:val="both"/>
        <w:rPr>
          <w:rFonts w:ascii="Microsoft Yahei" w:hAnsi="Microsoft Yahei"/>
          <w:sz w:val="21"/>
          <w:szCs w:val="21"/>
        </w:rPr>
      </w:pPr>
      <w:r>
        <w:rPr>
          <w:rFonts w:hint="eastAsia"/>
          <w:sz w:val="18"/>
          <w:szCs w:val="18"/>
        </w:rPr>
        <w:t>  风险提示：</w:t>
      </w:r>
    </w:p>
    <w:p w:rsidR="0042080C" w:rsidRDefault="0042080C" w:rsidP="0042080C">
      <w:pPr>
        <w:pStyle w:val="a5"/>
        <w:shd w:val="clear" w:color="auto" w:fill="FFFFFF"/>
        <w:spacing w:before="0" w:beforeAutospacing="0" w:after="420" w:afterAutospacing="0" w:line="399" w:lineRule="atLeast"/>
        <w:ind w:firstLine="240"/>
        <w:jc w:val="both"/>
        <w:rPr>
          <w:rFonts w:ascii="Microsoft Yahei" w:hAnsi="Microsoft Yahei"/>
          <w:sz w:val="21"/>
          <w:szCs w:val="21"/>
        </w:rPr>
      </w:pPr>
      <w:r>
        <w:rPr>
          <w:rFonts w:hint="eastAsia"/>
          <w:sz w:val="18"/>
          <w:szCs w:val="18"/>
        </w:rPr>
        <w:t>  本公司承诺以诚实信用、勤勉尽责的原则管理和运用基金资产，但不保证基金一定盈利，也不保证最低收益。敬请投资者留意投资风险。</w:t>
      </w:r>
    </w:p>
    <w:p w:rsidR="0042080C" w:rsidRDefault="0042080C" w:rsidP="0042080C">
      <w:pPr>
        <w:pStyle w:val="a5"/>
        <w:shd w:val="clear" w:color="auto" w:fill="FFFFFF"/>
        <w:spacing w:before="0" w:beforeAutospacing="0" w:after="420" w:afterAutospacing="0" w:line="399" w:lineRule="atLeast"/>
        <w:ind w:firstLine="360"/>
        <w:jc w:val="both"/>
        <w:rPr>
          <w:rFonts w:ascii="Microsoft Yahei" w:hAnsi="Microsoft Yahei"/>
          <w:sz w:val="21"/>
          <w:szCs w:val="21"/>
        </w:rPr>
      </w:pPr>
      <w:r>
        <w:rPr>
          <w:rFonts w:hint="eastAsia"/>
          <w:sz w:val="18"/>
          <w:szCs w:val="18"/>
        </w:rPr>
        <w:t>特此公告</w:t>
      </w:r>
    </w:p>
    <w:p w:rsidR="0042080C" w:rsidRDefault="0042080C" w:rsidP="0042080C">
      <w:pPr>
        <w:pStyle w:val="a5"/>
        <w:shd w:val="clear" w:color="auto" w:fill="FFFFFF"/>
        <w:spacing w:before="0" w:beforeAutospacing="0" w:after="420" w:afterAutospacing="0" w:line="399" w:lineRule="atLeast"/>
        <w:ind w:right="480"/>
        <w:jc w:val="both"/>
        <w:rPr>
          <w:rFonts w:ascii="Microsoft Yahei" w:hAnsi="Microsoft Yahei"/>
          <w:sz w:val="21"/>
          <w:szCs w:val="21"/>
        </w:rPr>
      </w:pPr>
      <w:r>
        <w:rPr>
          <w:rFonts w:hint="eastAsia"/>
          <w:sz w:val="18"/>
          <w:szCs w:val="18"/>
        </w:rPr>
        <w:t> </w:t>
      </w:r>
    </w:p>
    <w:p w:rsidR="0042080C" w:rsidRDefault="0042080C" w:rsidP="0042080C">
      <w:pPr>
        <w:pStyle w:val="a5"/>
        <w:shd w:val="clear" w:color="auto" w:fill="FFFFFF"/>
        <w:spacing w:before="0" w:beforeAutospacing="0" w:after="420" w:afterAutospacing="0" w:line="399" w:lineRule="atLeast"/>
        <w:ind w:right="480"/>
        <w:jc w:val="both"/>
        <w:rPr>
          <w:rFonts w:ascii="Microsoft Yahei" w:hAnsi="Microsoft Yahei"/>
          <w:sz w:val="21"/>
          <w:szCs w:val="21"/>
        </w:rPr>
      </w:pPr>
      <w:r>
        <w:rPr>
          <w:rFonts w:hint="eastAsia"/>
          <w:sz w:val="18"/>
          <w:szCs w:val="18"/>
        </w:rPr>
        <w:t> </w:t>
      </w:r>
    </w:p>
    <w:p w:rsidR="0042080C" w:rsidRDefault="0042080C" w:rsidP="0042080C">
      <w:pPr>
        <w:pStyle w:val="a5"/>
        <w:shd w:val="clear" w:color="auto" w:fill="FFFFFF"/>
        <w:spacing w:before="0" w:beforeAutospacing="0" w:after="420" w:afterAutospacing="0" w:line="399" w:lineRule="atLeast"/>
        <w:ind w:firstLine="480"/>
        <w:jc w:val="right"/>
        <w:rPr>
          <w:rFonts w:ascii="Microsoft Yahei" w:hAnsi="Microsoft Yahei"/>
          <w:sz w:val="21"/>
          <w:szCs w:val="21"/>
        </w:rPr>
      </w:pPr>
      <w:proofErr w:type="gramStart"/>
      <w:r>
        <w:rPr>
          <w:rFonts w:hint="eastAsia"/>
          <w:sz w:val="18"/>
          <w:szCs w:val="18"/>
        </w:rPr>
        <w:t>天弘基金</w:t>
      </w:r>
      <w:proofErr w:type="gramEnd"/>
      <w:r>
        <w:rPr>
          <w:rFonts w:hint="eastAsia"/>
          <w:sz w:val="18"/>
          <w:szCs w:val="18"/>
        </w:rPr>
        <w:t>管理有限公司</w:t>
      </w:r>
    </w:p>
    <w:p w:rsidR="0042080C" w:rsidRDefault="0042080C" w:rsidP="0042080C">
      <w:pPr>
        <w:pStyle w:val="a5"/>
        <w:shd w:val="clear" w:color="auto" w:fill="FFFFFF"/>
        <w:spacing w:before="0" w:beforeAutospacing="0" w:after="420" w:afterAutospacing="0" w:line="399" w:lineRule="atLeast"/>
        <w:ind w:firstLine="480"/>
        <w:jc w:val="right"/>
        <w:rPr>
          <w:rFonts w:ascii="Microsoft Yahei" w:hAnsi="Microsoft Yahei"/>
          <w:sz w:val="21"/>
          <w:szCs w:val="21"/>
        </w:rPr>
      </w:pPr>
      <w:r>
        <w:rPr>
          <w:rFonts w:hint="eastAsia"/>
          <w:sz w:val="18"/>
          <w:szCs w:val="18"/>
        </w:rPr>
        <w:t>  二〇一八年十一月十四日</w:t>
      </w:r>
    </w:p>
    <w:p w:rsidR="00B87B9B" w:rsidRPr="0042080C" w:rsidRDefault="00B87B9B"/>
    <w:sectPr w:rsidR="00B87B9B" w:rsidRPr="0042080C" w:rsidSect="00E80E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0C" w:rsidRDefault="0042080C" w:rsidP="0042080C">
      <w:r>
        <w:separator/>
      </w:r>
    </w:p>
  </w:endnote>
  <w:endnote w:type="continuationSeparator" w:id="0">
    <w:p w:rsidR="0042080C" w:rsidRDefault="0042080C" w:rsidP="00420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0C" w:rsidRDefault="0042080C" w:rsidP="0042080C">
      <w:r>
        <w:separator/>
      </w:r>
    </w:p>
  </w:footnote>
  <w:footnote w:type="continuationSeparator" w:id="0">
    <w:p w:rsidR="0042080C" w:rsidRDefault="0042080C" w:rsidP="00420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12FBD"/>
    <w:multiLevelType w:val="hybridMultilevel"/>
    <w:tmpl w:val="A6185FBC"/>
    <w:lvl w:ilvl="0" w:tplc="AE687010">
      <w:start w:val="1"/>
      <w:numFmt w:val="decimal"/>
      <w:lvlText w:val="%1、"/>
      <w:lvlJc w:val="left"/>
      <w:pPr>
        <w:ind w:left="585" w:hanging="5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080C"/>
    <w:rsid w:val="00134F82"/>
    <w:rsid w:val="0042080C"/>
    <w:rsid w:val="006877E0"/>
    <w:rsid w:val="00B87B9B"/>
    <w:rsid w:val="00BF2C5F"/>
    <w:rsid w:val="00E80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D0"/>
    <w:pPr>
      <w:widowControl w:val="0"/>
      <w:jc w:val="both"/>
    </w:pPr>
  </w:style>
  <w:style w:type="paragraph" w:styleId="3">
    <w:name w:val="heading 3"/>
    <w:basedOn w:val="a"/>
    <w:next w:val="a"/>
    <w:link w:val="3Char"/>
    <w:uiPriority w:val="9"/>
    <w:semiHidden/>
    <w:unhideWhenUsed/>
    <w:qFormat/>
    <w:rsid w:val="0042080C"/>
    <w:pPr>
      <w:keepNext/>
      <w:keepLines/>
      <w:spacing w:before="260" w:after="260" w:line="416" w:lineRule="auto"/>
      <w:outlineLvl w:val="2"/>
    </w:pPr>
    <w:rPr>
      <w:b/>
      <w:bCs/>
      <w:sz w:val="32"/>
      <w:szCs w:val="32"/>
    </w:rPr>
  </w:style>
  <w:style w:type="paragraph" w:styleId="4">
    <w:name w:val="heading 4"/>
    <w:basedOn w:val="a"/>
    <w:link w:val="4Char"/>
    <w:uiPriority w:val="9"/>
    <w:qFormat/>
    <w:rsid w:val="0042080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08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080C"/>
    <w:rPr>
      <w:sz w:val="18"/>
      <w:szCs w:val="18"/>
    </w:rPr>
  </w:style>
  <w:style w:type="paragraph" w:styleId="a4">
    <w:name w:val="footer"/>
    <w:basedOn w:val="a"/>
    <w:link w:val="Char0"/>
    <w:uiPriority w:val="99"/>
    <w:semiHidden/>
    <w:unhideWhenUsed/>
    <w:rsid w:val="004208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080C"/>
    <w:rPr>
      <w:sz w:val="18"/>
      <w:szCs w:val="18"/>
    </w:rPr>
  </w:style>
  <w:style w:type="character" w:customStyle="1" w:styleId="4Char">
    <w:name w:val="标题 4 Char"/>
    <w:basedOn w:val="a0"/>
    <w:link w:val="4"/>
    <w:uiPriority w:val="9"/>
    <w:rsid w:val="0042080C"/>
    <w:rPr>
      <w:rFonts w:ascii="宋体" w:eastAsia="宋体" w:hAnsi="宋体" w:cs="宋体"/>
      <w:b/>
      <w:bCs/>
      <w:kern w:val="0"/>
      <w:sz w:val="24"/>
      <w:szCs w:val="24"/>
    </w:rPr>
  </w:style>
  <w:style w:type="character" w:customStyle="1" w:styleId="3Char">
    <w:name w:val="标题 3 Char"/>
    <w:basedOn w:val="a0"/>
    <w:link w:val="3"/>
    <w:uiPriority w:val="9"/>
    <w:semiHidden/>
    <w:rsid w:val="0042080C"/>
    <w:rPr>
      <w:b/>
      <w:bCs/>
      <w:sz w:val="32"/>
      <w:szCs w:val="32"/>
    </w:rPr>
  </w:style>
  <w:style w:type="paragraph" w:styleId="a5">
    <w:name w:val="Normal (Web)"/>
    <w:basedOn w:val="a"/>
    <w:uiPriority w:val="99"/>
    <w:unhideWhenUsed/>
    <w:rsid w:val="0042080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2080C"/>
    <w:rPr>
      <w:b/>
      <w:bCs/>
    </w:rPr>
  </w:style>
</w:styles>
</file>

<file path=word/webSettings.xml><?xml version="1.0" encoding="utf-8"?>
<w:webSettings xmlns:r="http://schemas.openxmlformats.org/officeDocument/2006/relationships" xmlns:w="http://schemas.openxmlformats.org/wordprocessingml/2006/main">
  <w:divs>
    <w:div w:id="381903061">
      <w:bodyDiv w:val="1"/>
      <w:marLeft w:val="0"/>
      <w:marRight w:val="0"/>
      <w:marTop w:val="0"/>
      <w:marBottom w:val="0"/>
      <w:divBdr>
        <w:top w:val="none" w:sz="0" w:space="0" w:color="auto"/>
        <w:left w:val="none" w:sz="0" w:space="0" w:color="auto"/>
        <w:bottom w:val="none" w:sz="0" w:space="0" w:color="auto"/>
        <w:right w:val="none" w:sz="0" w:space="0" w:color="auto"/>
      </w:divBdr>
    </w:div>
    <w:div w:id="5160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3</cp:revision>
  <dcterms:created xsi:type="dcterms:W3CDTF">2018-11-14T08:18:00Z</dcterms:created>
  <dcterms:modified xsi:type="dcterms:W3CDTF">2018-11-14T08:19:00Z</dcterms:modified>
</cp:coreProperties>
</file>