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4F" w:rsidRDefault="00384EF4" w:rsidP="00384EF4">
      <w:pPr>
        <w:jc w:val="center"/>
        <w:rPr>
          <w:rFonts w:hint="eastAsia"/>
        </w:rPr>
      </w:pPr>
      <w:r w:rsidRPr="00384EF4">
        <w:rPr>
          <w:rFonts w:hint="eastAsia"/>
        </w:rPr>
        <w:t>广</w:t>
      </w:r>
      <w:proofErr w:type="gramStart"/>
      <w:r w:rsidRPr="00384EF4">
        <w:rPr>
          <w:rFonts w:hint="eastAsia"/>
        </w:rPr>
        <w:t>发纯债</w:t>
      </w:r>
      <w:proofErr w:type="gramEnd"/>
      <w:r w:rsidRPr="00384EF4">
        <w:rPr>
          <w:rFonts w:hint="eastAsia"/>
        </w:rPr>
        <w:t>债券型证券投资基金分红公告</w:t>
      </w:r>
    </w:p>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F92601">
        <w:rPr>
          <w:rFonts w:ascii="微软雅黑" w:eastAsia="微软雅黑" w:hAnsi="微软雅黑" w:cs="宋体" w:hint="eastAsia"/>
          <w:color w:val="4D4D4D"/>
          <w:kern w:val="0"/>
          <w:sz w:val="24"/>
          <w:szCs w:val="24"/>
        </w:rPr>
        <w:t>1 公告基本信息</w:t>
      </w:r>
    </w:p>
    <w:tbl>
      <w:tblPr>
        <w:tblW w:w="10305" w:type="dxa"/>
        <w:tblInd w:w="-992" w:type="dxa"/>
        <w:shd w:val="clear" w:color="auto" w:fill="FFFFFF"/>
        <w:tblCellMar>
          <w:left w:w="0" w:type="dxa"/>
          <w:right w:w="0" w:type="dxa"/>
        </w:tblCellMar>
        <w:tblLook w:val="04A0"/>
      </w:tblPr>
      <w:tblGrid>
        <w:gridCol w:w="906"/>
        <w:gridCol w:w="1482"/>
        <w:gridCol w:w="4129"/>
        <w:gridCol w:w="3788"/>
      </w:tblGrid>
      <w:tr w:rsidR="00F92601" w:rsidRPr="00F92601" w:rsidTr="00F92601">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基金名称</w:t>
            </w:r>
          </w:p>
        </w:tc>
        <w:tc>
          <w:tcPr>
            <w:tcW w:w="7917" w:type="dxa"/>
            <w:gridSpan w:val="2"/>
            <w:tcBorders>
              <w:top w:val="single" w:sz="8" w:space="0" w:color="auto"/>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广</w:t>
            </w:r>
            <w:proofErr w:type="gramStart"/>
            <w:r w:rsidRPr="00F92601">
              <w:rPr>
                <w:rFonts w:ascii="微软雅黑" w:eastAsia="微软雅黑" w:hAnsi="微软雅黑" w:cs="宋体" w:hint="eastAsia"/>
                <w:color w:val="4D4D4D"/>
                <w:kern w:val="0"/>
                <w:szCs w:val="21"/>
              </w:rPr>
              <w:t>发纯债</w:t>
            </w:r>
            <w:proofErr w:type="gramEnd"/>
            <w:r w:rsidRPr="00F92601">
              <w:rPr>
                <w:rFonts w:ascii="微软雅黑" w:eastAsia="微软雅黑" w:hAnsi="微软雅黑" w:cs="宋体" w:hint="eastAsia"/>
                <w:color w:val="4D4D4D"/>
                <w:kern w:val="0"/>
                <w:szCs w:val="21"/>
              </w:rPr>
              <w:t>债券型证券投资基金</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基金简称</w:t>
            </w:r>
          </w:p>
        </w:tc>
        <w:tc>
          <w:tcPr>
            <w:tcW w:w="7917"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广</w:t>
            </w:r>
            <w:proofErr w:type="gramStart"/>
            <w:r w:rsidRPr="00F92601">
              <w:rPr>
                <w:rFonts w:ascii="微软雅黑" w:eastAsia="微软雅黑" w:hAnsi="微软雅黑" w:cs="宋体" w:hint="eastAsia"/>
                <w:color w:val="4D4D4D"/>
                <w:kern w:val="0"/>
                <w:szCs w:val="21"/>
              </w:rPr>
              <w:t>发纯债</w:t>
            </w:r>
            <w:proofErr w:type="gramEnd"/>
            <w:r w:rsidRPr="00F92601">
              <w:rPr>
                <w:rFonts w:ascii="微软雅黑" w:eastAsia="微软雅黑" w:hAnsi="微软雅黑" w:cs="宋体" w:hint="eastAsia"/>
                <w:color w:val="4D4D4D"/>
                <w:kern w:val="0"/>
                <w:szCs w:val="21"/>
              </w:rPr>
              <w:t>债券</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基金主代码</w:t>
            </w:r>
          </w:p>
        </w:tc>
        <w:tc>
          <w:tcPr>
            <w:tcW w:w="7917"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270048</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基金合同生效日</w:t>
            </w:r>
          </w:p>
        </w:tc>
        <w:tc>
          <w:tcPr>
            <w:tcW w:w="7917"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2012年12月12日</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基金管理人名称</w:t>
            </w:r>
          </w:p>
        </w:tc>
        <w:tc>
          <w:tcPr>
            <w:tcW w:w="7917"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广发基金管理有限公司</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基金托管人名称</w:t>
            </w:r>
          </w:p>
        </w:tc>
        <w:tc>
          <w:tcPr>
            <w:tcW w:w="7917"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中国工商银行股份有限公司</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公告依据</w:t>
            </w:r>
          </w:p>
        </w:tc>
        <w:tc>
          <w:tcPr>
            <w:tcW w:w="7917"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《中华人民共和国证券投资基金法》及其配套法规、《广发纯债债券型证券投资基金基金合同》、《广发纯债债券型证券投资基金招募说明书》</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收益分配基准日</w:t>
            </w:r>
          </w:p>
        </w:tc>
        <w:tc>
          <w:tcPr>
            <w:tcW w:w="7917"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2018年6月30日</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有关年度分红次数的说明</w:t>
            </w:r>
          </w:p>
        </w:tc>
        <w:tc>
          <w:tcPr>
            <w:tcW w:w="7917"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本次分红为2018年度的第2次分红</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下属分级基金的基金简称</w:t>
            </w:r>
          </w:p>
        </w:tc>
        <w:tc>
          <w:tcPr>
            <w:tcW w:w="41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广发纯</w:t>
            </w:r>
            <w:proofErr w:type="gramStart"/>
            <w:r w:rsidRPr="00F92601">
              <w:rPr>
                <w:rFonts w:ascii="微软雅黑" w:eastAsia="微软雅黑" w:hAnsi="微软雅黑" w:cs="宋体" w:hint="eastAsia"/>
                <w:color w:val="4D4D4D"/>
                <w:kern w:val="0"/>
                <w:szCs w:val="21"/>
              </w:rPr>
              <w:t>债</w:t>
            </w:r>
            <w:proofErr w:type="gramEnd"/>
            <w:r w:rsidRPr="00F92601">
              <w:rPr>
                <w:rFonts w:ascii="微软雅黑" w:eastAsia="微软雅黑" w:hAnsi="微软雅黑" w:cs="宋体" w:hint="eastAsia"/>
                <w:color w:val="4D4D4D"/>
                <w:kern w:val="0"/>
                <w:szCs w:val="21"/>
              </w:rPr>
              <w:t>债券A类</w:t>
            </w:r>
          </w:p>
        </w:tc>
        <w:tc>
          <w:tcPr>
            <w:tcW w:w="3788"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广发纯</w:t>
            </w:r>
            <w:proofErr w:type="gramStart"/>
            <w:r w:rsidRPr="00F92601">
              <w:rPr>
                <w:rFonts w:ascii="微软雅黑" w:eastAsia="微软雅黑" w:hAnsi="微软雅黑" w:cs="宋体" w:hint="eastAsia"/>
                <w:color w:val="4D4D4D"/>
                <w:kern w:val="0"/>
                <w:szCs w:val="21"/>
              </w:rPr>
              <w:t>债</w:t>
            </w:r>
            <w:proofErr w:type="gramEnd"/>
            <w:r w:rsidRPr="00F92601">
              <w:rPr>
                <w:rFonts w:ascii="微软雅黑" w:eastAsia="微软雅黑" w:hAnsi="微软雅黑" w:cs="宋体" w:hint="eastAsia"/>
                <w:color w:val="4D4D4D"/>
                <w:kern w:val="0"/>
                <w:szCs w:val="21"/>
              </w:rPr>
              <w:t>债券C类</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下属分级基金的交易代码</w:t>
            </w:r>
          </w:p>
        </w:tc>
        <w:tc>
          <w:tcPr>
            <w:tcW w:w="41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270048</w:t>
            </w:r>
          </w:p>
        </w:tc>
        <w:tc>
          <w:tcPr>
            <w:tcW w:w="3788"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270049</w:t>
            </w:r>
          </w:p>
        </w:tc>
      </w:tr>
      <w:tr w:rsidR="00F92601" w:rsidRPr="00F92601" w:rsidTr="00F92601">
        <w:tc>
          <w:tcPr>
            <w:tcW w:w="906" w:type="dxa"/>
            <w:vMerge w:val="restart"/>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截止基准日下属分级</w:t>
            </w:r>
            <w:r w:rsidRPr="00F92601">
              <w:rPr>
                <w:rFonts w:ascii="微软雅黑" w:eastAsia="微软雅黑" w:hAnsi="微软雅黑" w:cs="宋体" w:hint="eastAsia"/>
                <w:color w:val="000000"/>
                <w:kern w:val="0"/>
                <w:szCs w:val="21"/>
              </w:rPr>
              <w:lastRenderedPageBreak/>
              <w:t>基金的相关指标</w:t>
            </w:r>
          </w:p>
        </w:tc>
        <w:tc>
          <w:tcPr>
            <w:tcW w:w="1482"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lastRenderedPageBreak/>
              <w:t>基准日下属分级基金份额净值</w:t>
            </w:r>
            <w:r w:rsidRPr="00F92601">
              <w:rPr>
                <w:rFonts w:ascii="微软雅黑" w:eastAsia="微软雅黑" w:hAnsi="微软雅黑" w:cs="宋体" w:hint="eastAsia"/>
                <w:color w:val="4D4D4D"/>
                <w:kern w:val="0"/>
                <w:szCs w:val="21"/>
              </w:rPr>
              <w:t>（单位：</w:t>
            </w:r>
            <w:r w:rsidRPr="00F92601">
              <w:rPr>
                <w:rFonts w:ascii="微软雅黑" w:eastAsia="微软雅黑" w:hAnsi="微软雅黑" w:cs="宋体" w:hint="eastAsia"/>
                <w:color w:val="000000"/>
                <w:kern w:val="0"/>
                <w:szCs w:val="21"/>
              </w:rPr>
              <w:t>元</w:t>
            </w:r>
            <w:r w:rsidRPr="00F92601">
              <w:rPr>
                <w:rFonts w:ascii="微软雅黑" w:eastAsia="微软雅黑" w:hAnsi="微软雅黑" w:cs="宋体" w:hint="eastAsia"/>
                <w:color w:val="4D4D4D"/>
                <w:kern w:val="0"/>
                <w:szCs w:val="21"/>
              </w:rPr>
              <w:t>）</w:t>
            </w:r>
          </w:p>
        </w:tc>
        <w:tc>
          <w:tcPr>
            <w:tcW w:w="41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1.194</w:t>
            </w:r>
          </w:p>
        </w:tc>
        <w:tc>
          <w:tcPr>
            <w:tcW w:w="3788"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1.191</w:t>
            </w:r>
          </w:p>
        </w:tc>
      </w:tr>
      <w:tr w:rsidR="00F92601" w:rsidRPr="00F92601" w:rsidTr="00F92601">
        <w:trPr>
          <w:trHeight w:val="4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2601" w:rsidRPr="00F92601" w:rsidRDefault="00F92601" w:rsidP="00F92601">
            <w:pPr>
              <w:widowControl/>
              <w:jc w:val="left"/>
              <w:rPr>
                <w:rFonts w:ascii="微软雅黑" w:eastAsia="微软雅黑" w:hAnsi="微软雅黑" w:cs="宋体"/>
                <w:color w:val="4D4D4D"/>
                <w:kern w:val="0"/>
                <w:szCs w:val="21"/>
              </w:rPr>
            </w:pPr>
          </w:p>
        </w:tc>
        <w:tc>
          <w:tcPr>
            <w:tcW w:w="1482"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基准日下属分级基金可供分配利润</w:t>
            </w:r>
            <w:r w:rsidRPr="00F92601">
              <w:rPr>
                <w:rFonts w:ascii="微软雅黑" w:eastAsia="微软雅黑" w:hAnsi="微软雅黑" w:cs="宋体" w:hint="eastAsia"/>
                <w:color w:val="4D4D4D"/>
                <w:kern w:val="0"/>
                <w:szCs w:val="21"/>
              </w:rPr>
              <w:t>（单位：</w:t>
            </w:r>
            <w:r w:rsidRPr="00F92601">
              <w:rPr>
                <w:rFonts w:ascii="微软雅黑" w:eastAsia="微软雅黑" w:hAnsi="微软雅黑" w:cs="宋体" w:hint="eastAsia"/>
                <w:color w:val="000000"/>
                <w:kern w:val="0"/>
                <w:szCs w:val="21"/>
              </w:rPr>
              <w:t>元</w:t>
            </w:r>
            <w:r w:rsidRPr="00F92601">
              <w:rPr>
                <w:rFonts w:ascii="微软雅黑" w:eastAsia="微软雅黑" w:hAnsi="微软雅黑" w:cs="宋体" w:hint="eastAsia"/>
                <w:color w:val="4D4D4D"/>
                <w:kern w:val="0"/>
                <w:szCs w:val="21"/>
              </w:rPr>
              <w:t>）</w:t>
            </w:r>
          </w:p>
        </w:tc>
        <w:tc>
          <w:tcPr>
            <w:tcW w:w="41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17,485,949.46</w:t>
            </w:r>
          </w:p>
        </w:tc>
        <w:tc>
          <w:tcPr>
            <w:tcW w:w="3788"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3,977,792.33</w:t>
            </w:r>
          </w:p>
        </w:tc>
      </w:tr>
      <w:tr w:rsidR="00F92601" w:rsidRPr="00F92601" w:rsidTr="00F92601">
        <w:trPr>
          <w:trHeight w:val="4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2601" w:rsidRPr="00F92601" w:rsidRDefault="00F92601" w:rsidP="00F92601">
            <w:pPr>
              <w:widowControl/>
              <w:jc w:val="left"/>
              <w:rPr>
                <w:rFonts w:ascii="微软雅黑" w:eastAsia="微软雅黑" w:hAnsi="微软雅黑" w:cs="宋体"/>
                <w:color w:val="4D4D4D"/>
                <w:kern w:val="0"/>
                <w:szCs w:val="21"/>
              </w:rPr>
            </w:pPr>
          </w:p>
        </w:tc>
        <w:tc>
          <w:tcPr>
            <w:tcW w:w="1482"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截止基准</w:t>
            </w:r>
            <w:proofErr w:type="gramStart"/>
            <w:r w:rsidRPr="00F92601">
              <w:rPr>
                <w:rFonts w:ascii="微软雅黑" w:eastAsia="微软雅黑" w:hAnsi="微软雅黑" w:cs="宋体" w:hint="eastAsia"/>
                <w:color w:val="000000"/>
                <w:kern w:val="0"/>
                <w:szCs w:val="21"/>
              </w:rPr>
              <w:t>日按照</w:t>
            </w:r>
            <w:proofErr w:type="gramEnd"/>
            <w:r w:rsidRPr="00F92601">
              <w:rPr>
                <w:rFonts w:ascii="微软雅黑" w:eastAsia="微软雅黑" w:hAnsi="微软雅黑" w:cs="宋体" w:hint="eastAsia"/>
                <w:color w:val="000000"/>
                <w:kern w:val="0"/>
                <w:szCs w:val="21"/>
              </w:rPr>
              <w:t>基金合同约定的分红比例计算的应分配金额（单位：元）</w:t>
            </w:r>
          </w:p>
        </w:tc>
        <w:tc>
          <w:tcPr>
            <w:tcW w:w="41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8,742,974.73</w:t>
            </w:r>
          </w:p>
        </w:tc>
        <w:tc>
          <w:tcPr>
            <w:tcW w:w="3788"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1,988,896.17</w:t>
            </w:r>
          </w:p>
        </w:tc>
      </w:tr>
      <w:tr w:rsidR="00F92601" w:rsidRPr="00F92601" w:rsidTr="00F92601">
        <w:tc>
          <w:tcPr>
            <w:tcW w:w="2388"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本次下属分级基金分红方案（单位：元/10份基金份额）</w:t>
            </w:r>
          </w:p>
        </w:tc>
        <w:tc>
          <w:tcPr>
            <w:tcW w:w="41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0.100</w:t>
            </w:r>
          </w:p>
        </w:tc>
        <w:tc>
          <w:tcPr>
            <w:tcW w:w="3788"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0.080</w:t>
            </w:r>
          </w:p>
        </w:tc>
      </w:tr>
    </w:tbl>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注：根据本基金合同约定，在符合有关基金分红条件的前提下，本基金每年收益分配次数最多为12次；基金合同生效满6个月后，</w:t>
      </w:r>
      <w:proofErr w:type="gramStart"/>
      <w:r w:rsidRPr="00F92601">
        <w:rPr>
          <w:rFonts w:ascii="微软雅黑" w:eastAsia="微软雅黑" w:hAnsi="微软雅黑" w:cs="宋体" w:hint="eastAsia"/>
          <w:color w:val="4D4D4D"/>
          <w:kern w:val="0"/>
          <w:sz w:val="24"/>
          <w:szCs w:val="24"/>
        </w:rPr>
        <w:t>若基金</w:t>
      </w:r>
      <w:proofErr w:type="gramEnd"/>
      <w:r w:rsidRPr="00F92601">
        <w:rPr>
          <w:rFonts w:ascii="微软雅黑" w:eastAsia="微软雅黑" w:hAnsi="微软雅黑" w:cs="宋体" w:hint="eastAsia"/>
          <w:color w:val="4D4D4D"/>
          <w:kern w:val="0"/>
          <w:sz w:val="24"/>
          <w:szCs w:val="24"/>
        </w:rPr>
        <w:t>在每季度末每份基金份额可供分配利润金额高于0.01元(含)，</w:t>
      </w:r>
      <w:proofErr w:type="gramStart"/>
      <w:r w:rsidRPr="00F92601">
        <w:rPr>
          <w:rFonts w:ascii="微软雅黑" w:eastAsia="微软雅黑" w:hAnsi="微软雅黑" w:cs="宋体" w:hint="eastAsia"/>
          <w:color w:val="4D4D4D"/>
          <w:kern w:val="0"/>
          <w:sz w:val="24"/>
          <w:szCs w:val="24"/>
        </w:rPr>
        <w:t>则基金</w:t>
      </w:r>
      <w:proofErr w:type="gramEnd"/>
      <w:r w:rsidRPr="00F92601">
        <w:rPr>
          <w:rFonts w:ascii="微软雅黑" w:eastAsia="微软雅黑" w:hAnsi="微软雅黑" w:cs="宋体" w:hint="eastAsia"/>
          <w:color w:val="4D4D4D"/>
          <w:kern w:val="0"/>
          <w:sz w:val="24"/>
          <w:szCs w:val="24"/>
        </w:rPr>
        <w:t>应于该季度结束后15个工作日之内进行收益分配，每份基金份额每次收益分配比例不得低于基金收益分配基准日每份基金份额可供分配利润的50%。</w:t>
      </w:r>
    </w:p>
    <w:p w:rsidR="00F92601" w:rsidRDefault="00F92601" w:rsidP="00F92601">
      <w:pPr>
        <w:widowControl/>
        <w:shd w:val="clear" w:color="auto" w:fill="FFFFFF"/>
        <w:spacing w:before="150" w:after="150" w:line="540" w:lineRule="atLeast"/>
        <w:ind w:firstLine="465"/>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2 与分红相关的其他信息</w:t>
      </w:r>
    </w:p>
    <w:p w:rsidR="00F92601" w:rsidRPr="00F92601" w:rsidRDefault="00F92601" w:rsidP="00F92601">
      <w:pPr>
        <w:widowControl/>
        <w:shd w:val="clear" w:color="auto" w:fill="FFFFFF"/>
        <w:spacing w:before="150" w:after="150" w:line="540" w:lineRule="atLeast"/>
        <w:ind w:firstLine="465"/>
        <w:jc w:val="left"/>
        <w:rPr>
          <w:rFonts w:ascii="微软雅黑" w:eastAsia="微软雅黑" w:hAnsi="微软雅黑" w:cs="宋体" w:hint="eastAsia"/>
          <w:color w:val="4D4D4D"/>
          <w:kern w:val="0"/>
          <w:sz w:val="24"/>
          <w:szCs w:val="24"/>
        </w:rPr>
      </w:pPr>
    </w:p>
    <w:tbl>
      <w:tblPr>
        <w:tblW w:w="10305" w:type="dxa"/>
        <w:tblInd w:w="-992" w:type="dxa"/>
        <w:shd w:val="clear" w:color="auto" w:fill="FFFFFF"/>
        <w:tblCellMar>
          <w:left w:w="0" w:type="dxa"/>
          <w:right w:w="0" w:type="dxa"/>
        </w:tblCellMar>
        <w:tblLook w:val="04A0"/>
      </w:tblPr>
      <w:tblGrid>
        <w:gridCol w:w="2340"/>
        <w:gridCol w:w="7965"/>
      </w:tblGrid>
      <w:tr w:rsidR="00F92601" w:rsidRPr="00F92601" w:rsidTr="00F92601">
        <w:tc>
          <w:tcPr>
            <w:tcW w:w="2340" w:type="dxa"/>
            <w:tcBorders>
              <w:top w:val="single" w:sz="8" w:space="0" w:color="auto"/>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lastRenderedPageBreak/>
              <w:t>权益登记日</w:t>
            </w:r>
          </w:p>
        </w:tc>
        <w:tc>
          <w:tcPr>
            <w:tcW w:w="7965" w:type="dxa"/>
            <w:tcBorders>
              <w:top w:val="single" w:sz="8" w:space="0" w:color="auto"/>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2018年7月13日</w:t>
            </w:r>
          </w:p>
        </w:tc>
      </w:tr>
      <w:tr w:rsidR="00F92601" w:rsidRPr="00F92601" w:rsidTr="00F92601">
        <w:tc>
          <w:tcPr>
            <w:tcW w:w="2340"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除息日</w:t>
            </w:r>
          </w:p>
        </w:tc>
        <w:tc>
          <w:tcPr>
            <w:tcW w:w="7965"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2018年7月13日（场外）</w:t>
            </w:r>
          </w:p>
        </w:tc>
      </w:tr>
      <w:tr w:rsidR="00F92601" w:rsidRPr="00F92601" w:rsidTr="00F92601">
        <w:tc>
          <w:tcPr>
            <w:tcW w:w="2340"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现金红利发放日</w:t>
            </w:r>
          </w:p>
        </w:tc>
        <w:tc>
          <w:tcPr>
            <w:tcW w:w="7965"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2018年7月17日</w:t>
            </w:r>
          </w:p>
        </w:tc>
      </w:tr>
      <w:tr w:rsidR="00F92601" w:rsidRPr="00F92601" w:rsidTr="00F92601">
        <w:tc>
          <w:tcPr>
            <w:tcW w:w="2340"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分红对象</w:t>
            </w:r>
          </w:p>
        </w:tc>
        <w:tc>
          <w:tcPr>
            <w:tcW w:w="7965"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权益登记日在本公司登记在册的本基金份额的全体持有人</w:t>
            </w:r>
          </w:p>
        </w:tc>
      </w:tr>
      <w:tr w:rsidR="00F92601" w:rsidRPr="00F92601" w:rsidTr="00F92601">
        <w:tc>
          <w:tcPr>
            <w:tcW w:w="2340"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红利再投资相关事项的说明</w:t>
            </w:r>
          </w:p>
        </w:tc>
        <w:tc>
          <w:tcPr>
            <w:tcW w:w="7965"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选择红利再投资方式的投资者由红利转得的基金份额将以2018年7月13日的基金份额净值为计算基准确定，本公司对红利再投资所得的基金份额进行确认并通知各销售机构。2018年7月17日起投资者可以查询、赎回。</w:t>
            </w:r>
          </w:p>
        </w:tc>
      </w:tr>
      <w:tr w:rsidR="00F92601" w:rsidRPr="00F92601" w:rsidTr="00F92601">
        <w:tc>
          <w:tcPr>
            <w:tcW w:w="2340"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税收相关事项的说明</w:t>
            </w:r>
          </w:p>
        </w:tc>
        <w:tc>
          <w:tcPr>
            <w:tcW w:w="7965"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根据财政部、国家税务总局的财税[2002]128号《关于开放式证券投资基金有关税收问题的通知》以及财税[2016]140号《关于明确金融 房地产开发 教育辅助服务等增值税政策的通知》，基金向投资者分配的基金收益，暂不征收所得税，且不征收增值税。</w:t>
            </w:r>
          </w:p>
        </w:tc>
      </w:tr>
      <w:tr w:rsidR="00F92601" w:rsidRPr="00F92601" w:rsidTr="00F92601">
        <w:tc>
          <w:tcPr>
            <w:tcW w:w="2340"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000000"/>
                <w:kern w:val="0"/>
                <w:szCs w:val="21"/>
              </w:rPr>
              <w:t>费用相关事项的说明</w:t>
            </w:r>
          </w:p>
        </w:tc>
        <w:tc>
          <w:tcPr>
            <w:tcW w:w="7965"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F92601" w:rsidRPr="00F92601" w:rsidRDefault="00F92601" w:rsidP="00F92601">
            <w:pPr>
              <w:widowControl/>
              <w:spacing w:line="540" w:lineRule="atLeast"/>
              <w:jc w:val="center"/>
              <w:rPr>
                <w:rFonts w:ascii="微软雅黑" w:eastAsia="微软雅黑" w:hAnsi="微软雅黑" w:cs="宋体"/>
                <w:color w:val="4D4D4D"/>
                <w:kern w:val="0"/>
                <w:szCs w:val="21"/>
              </w:rPr>
            </w:pPr>
            <w:r w:rsidRPr="00F92601">
              <w:rPr>
                <w:rFonts w:ascii="微软雅黑" w:eastAsia="微软雅黑" w:hAnsi="微软雅黑" w:cs="宋体" w:hint="eastAsia"/>
                <w:color w:val="4D4D4D"/>
                <w:kern w:val="0"/>
                <w:szCs w:val="21"/>
              </w:rPr>
              <w:t>本基金本次分红免收分红手续费。</w:t>
            </w:r>
          </w:p>
        </w:tc>
      </w:tr>
    </w:tbl>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3 其他需要提示的事项</w:t>
      </w:r>
    </w:p>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1、权益登记日申请申购的基金份额不享有本次分红权益，权益登记日申请赎回的基金份额享有本次分红权益。</w:t>
      </w:r>
    </w:p>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2、对于未选择具体分红方式的投资者，本基金默认的分红方式为现金方式。</w:t>
      </w:r>
    </w:p>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3、投资者可以在基金开放日的交易时间内到销售网点修改分红方式，本次分红确认的方式将按照投资者在权益登记日之前（不含2018年7月13日）最后一次选择的分红方式为准。请投资者到销售网点或通过本公司客户服务中心：</w:t>
      </w:r>
      <w:r w:rsidRPr="00F92601">
        <w:rPr>
          <w:rFonts w:ascii="微软雅黑" w:eastAsia="微软雅黑" w:hAnsi="微软雅黑" w:cs="宋体" w:hint="eastAsia"/>
          <w:color w:val="4D4D4D"/>
          <w:kern w:val="0"/>
          <w:sz w:val="24"/>
          <w:szCs w:val="24"/>
        </w:rPr>
        <w:lastRenderedPageBreak/>
        <w:t>95105828（免长途话费）确认分红方式是否正确，如不正确或希望修改分红方式的，请务必在规定时间前到销售网点办理变更手续。</w:t>
      </w:r>
    </w:p>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4、建议基金份额持有人在修改分红方式后，在T+2日（申请修改分红方式之日为T日）后（含T+2日）向销售网点或本公司确认分红方式的修改是否成功。</w:t>
      </w:r>
    </w:p>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风险提示：本基金分红并不改变本基金的风险收益特征，也不会因此降低基金投资风险或提高基金投资收益。本公司承诺以诚实信用、勤勉尽责的原则管理和运用基金资产，但不保证基金一定盈利，也不保证最低收益。敬请投资人注意投资风险。投资者欲了解有关分红的情况，可到办理业务的当地销售网点查询，也可以登录本公司网站（www.gffunds.com.cn）或拨打本公司客户服务电话：95105828（免长途话费）咨询相关事宜。</w:t>
      </w:r>
    </w:p>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特此公告</w:t>
      </w:r>
    </w:p>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广发基金管理有限公司</w:t>
      </w:r>
    </w:p>
    <w:p w:rsidR="00F92601" w:rsidRPr="00F92601" w:rsidRDefault="00F92601" w:rsidP="00F92601">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92601">
        <w:rPr>
          <w:rFonts w:ascii="微软雅黑" w:eastAsia="微软雅黑" w:hAnsi="微软雅黑" w:cs="宋体" w:hint="eastAsia"/>
          <w:color w:val="4D4D4D"/>
          <w:kern w:val="0"/>
          <w:sz w:val="24"/>
          <w:szCs w:val="24"/>
        </w:rPr>
        <w:t xml:space="preserve">　　2018年7月11日</w:t>
      </w:r>
    </w:p>
    <w:p w:rsidR="00384EF4" w:rsidRPr="00384EF4" w:rsidRDefault="00384EF4" w:rsidP="00384EF4">
      <w:pPr>
        <w:jc w:val="center"/>
      </w:pPr>
    </w:p>
    <w:sectPr w:rsidR="00384EF4" w:rsidRPr="00384EF4" w:rsidSect="00B249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F4" w:rsidRDefault="00384EF4" w:rsidP="00384EF4">
      <w:r>
        <w:separator/>
      </w:r>
    </w:p>
  </w:endnote>
  <w:endnote w:type="continuationSeparator" w:id="0">
    <w:p w:rsidR="00384EF4" w:rsidRDefault="00384EF4" w:rsidP="00384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F4" w:rsidRDefault="00384EF4" w:rsidP="00384EF4">
      <w:r>
        <w:separator/>
      </w:r>
    </w:p>
  </w:footnote>
  <w:footnote w:type="continuationSeparator" w:id="0">
    <w:p w:rsidR="00384EF4" w:rsidRDefault="00384EF4" w:rsidP="00384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EF4"/>
    <w:rsid w:val="00384EF4"/>
    <w:rsid w:val="00B2494F"/>
    <w:rsid w:val="00F92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4EF4"/>
    <w:rPr>
      <w:sz w:val="18"/>
      <w:szCs w:val="18"/>
    </w:rPr>
  </w:style>
  <w:style w:type="paragraph" w:styleId="a4">
    <w:name w:val="footer"/>
    <w:basedOn w:val="a"/>
    <w:link w:val="Char0"/>
    <w:uiPriority w:val="99"/>
    <w:semiHidden/>
    <w:unhideWhenUsed/>
    <w:rsid w:val="00384E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4EF4"/>
    <w:rPr>
      <w:sz w:val="18"/>
      <w:szCs w:val="18"/>
    </w:rPr>
  </w:style>
  <w:style w:type="paragraph" w:styleId="a5">
    <w:name w:val="Normal (Web)"/>
    <w:basedOn w:val="a"/>
    <w:uiPriority w:val="99"/>
    <w:semiHidden/>
    <w:unhideWhenUsed/>
    <w:rsid w:val="00F926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4239773">
      <w:bodyDiv w:val="1"/>
      <w:marLeft w:val="0"/>
      <w:marRight w:val="0"/>
      <w:marTop w:val="0"/>
      <w:marBottom w:val="0"/>
      <w:divBdr>
        <w:top w:val="none" w:sz="0" w:space="0" w:color="auto"/>
        <w:left w:val="none" w:sz="0" w:space="0" w:color="auto"/>
        <w:bottom w:val="none" w:sz="0" w:space="0" w:color="auto"/>
        <w:right w:val="none" w:sz="0" w:space="0" w:color="auto"/>
      </w:divBdr>
    </w:div>
    <w:div w:id="663438996">
      <w:bodyDiv w:val="1"/>
      <w:marLeft w:val="0"/>
      <w:marRight w:val="0"/>
      <w:marTop w:val="0"/>
      <w:marBottom w:val="0"/>
      <w:divBdr>
        <w:top w:val="none" w:sz="0" w:space="0" w:color="auto"/>
        <w:left w:val="none" w:sz="0" w:space="0" w:color="auto"/>
        <w:bottom w:val="none" w:sz="0" w:space="0" w:color="auto"/>
        <w:right w:val="none" w:sz="0" w:space="0" w:color="auto"/>
      </w:divBdr>
    </w:div>
    <w:div w:id="954747427">
      <w:bodyDiv w:val="1"/>
      <w:marLeft w:val="0"/>
      <w:marRight w:val="0"/>
      <w:marTop w:val="0"/>
      <w:marBottom w:val="0"/>
      <w:divBdr>
        <w:top w:val="none" w:sz="0" w:space="0" w:color="auto"/>
        <w:left w:val="none" w:sz="0" w:space="0" w:color="auto"/>
        <w:bottom w:val="none" w:sz="0" w:space="0" w:color="auto"/>
        <w:right w:val="none" w:sz="0" w:space="0" w:color="auto"/>
      </w:divBdr>
    </w:div>
    <w:div w:id="9934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2018-07-11T06:27:00Z</dcterms:created>
  <dcterms:modified xsi:type="dcterms:W3CDTF">2018-07-11T06:28:00Z</dcterms:modified>
</cp:coreProperties>
</file>