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C0" w:rsidRDefault="00206EE4" w:rsidP="00206EE4">
      <w:pPr>
        <w:jc w:val="center"/>
        <w:rPr>
          <w:rFonts w:hint="eastAsia"/>
        </w:rPr>
      </w:pPr>
      <w:r w:rsidRPr="00206EE4">
        <w:rPr>
          <w:rFonts w:hint="eastAsia"/>
        </w:rPr>
        <w:t>关于</w:t>
      </w:r>
      <w:proofErr w:type="gramStart"/>
      <w:r w:rsidRPr="00206EE4">
        <w:rPr>
          <w:rFonts w:hint="eastAsia"/>
        </w:rPr>
        <w:t>汇添富可</w:t>
      </w:r>
      <w:proofErr w:type="gramEnd"/>
      <w:r w:rsidRPr="00206EE4">
        <w:rPr>
          <w:rFonts w:hint="eastAsia"/>
        </w:rPr>
        <w:t>转换</w:t>
      </w:r>
      <w:proofErr w:type="gramStart"/>
      <w:r w:rsidRPr="00206EE4">
        <w:rPr>
          <w:rFonts w:hint="eastAsia"/>
        </w:rPr>
        <w:t>债券债券</w:t>
      </w:r>
      <w:proofErr w:type="gramEnd"/>
      <w:r w:rsidRPr="00206EE4">
        <w:rPr>
          <w:rFonts w:hint="eastAsia"/>
        </w:rPr>
        <w:t>型证券投资基金暂停大额申购、转换转入业务的公告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0" w:name="RANGE!E5"/>
      <w:r>
        <w:rPr>
          <w:rFonts w:ascii="Microsoft Yahei" w:hAnsi="Microsoft Yahei"/>
          <w:b/>
          <w:bCs/>
          <w:color w:val="666666"/>
          <w:sz w:val="21"/>
          <w:szCs w:val="21"/>
        </w:rPr>
        <w:t>1</w:t>
      </w:r>
      <w:r>
        <w:rPr>
          <w:rStyle w:val="apple-converted-space"/>
          <w:rFonts w:ascii="Microsoft Yahei" w:hAnsi="Microsoft Yahei"/>
          <w:b/>
          <w:bCs/>
          <w:color w:val="666666"/>
          <w:sz w:val="21"/>
          <w:szCs w:val="21"/>
        </w:rPr>
        <w:t> </w:t>
      </w:r>
      <w:bookmarkEnd w:id="0"/>
      <w:r>
        <w:rPr>
          <w:b/>
          <w:bCs/>
          <w:sz w:val="21"/>
          <w:szCs w:val="21"/>
        </w:rPr>
        <w:t>公告基本信息</w:t>
      </w:r>
      <w:bookmarkStart w:id="1" w:name="RANGE!G5"/>
      <w:bookmarkEnd w:id="1"/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基金名称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2" w:name="RANGE!G6"/>
      <w:proofErr w:type="gramStart"/>
      <w:r>
        <w:rPr>
          <w:rFonts w:ascii="Microsoft Yahei" w:hAnsi="Microsoft Yahei"/>
          <w:color w:val="666666"/>
          <w:sz w:val="21"/>
          <w:szCs w:val="21"/>
        </w:rPr>
        <w:t>汇添富可</w:t>
      </w:r>
      <w:proofErr w:type="gramEnd"/>
      <w:r>
        <w:rPr>
          <w:rFonts w:ascii="Microsoft Yahei" w:hAnsi="Microsoft Yahei"/>
          <w:color w:val="666666"/>
          <w:sz w:val="21"/>
          <w:szCs w:val="21"/>
        </w:rPr>
        <w:t>转换</w:t>
      </w:r>
      <w:proofErr w:type="gramStart"/>
      <w:r>
        <w:rPr>
          <w:rFonts w:ascii="Microsoft Yahei" w:hAnsi="Microsoft Yahei"/>
          <w:color w:val="666666"/>
          <w:sz w:val="21"/>
          <w:szCs w:val="21"/>
        </w:rPr>
        <w:t>债券债券</w:t>
      </w:r>
      <w:proofErr w:type="gramEnd"/>
      <w:r>
        <w:rPr>
          <w:rFonts w:ascii="Microsoft Yahei" w:hAnsi="Microsoft Yahei"/>
          <w:color w:val="666666"/>
          <w:sz w:val="21"/>
          <w:szCs w:val="21"/>
        </w:rPr>
        <w:t>型证券投资基金</w:t>
      </w:r>
      <w:bookmarkEnd w:id="2"/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基金简称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3" w:name="RANGE!G7"/>
      <w:proofErr w:type="gramStart"/>
      <w:r>
        <w:rPr>
          <w:rFonts w:ascii="Microsoft Yahei" w:hAnsi="Microsoft Yahei"/>
          <w:color w:val="666666"/>
          <w:sz w:val="21"/>
          <w:szCs w:val="21"/>
        </w:rPr>
        <w:t>汇添富可</w:t>
      </w:r>
      <w:proofErr w:type="gramEnd"/>
      <w:r>
        <w:rPr>
          <w:rFonts w:ascii="Microsoft Yahei" w:hAnsi="Microsoft Yahei"/>
          <w:color w:val="666666"/>
          <w:sz w:val="21"/>
          <w:szCs w:val="21"/>
        </w:rPr>
        <w:t>转换债券</w:t>
      </w:r>
      <w:bookmarkEnd w:id="3"/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基金主代码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470058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基金管理人名称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4" w:name="RANGE!G9"/>
      <w:proofErr w:type="gramStart"/>
      <w:r>
        <w:rPr>
          <w:rFonts w:ascii="Microsoft Yahei" w:hAnsi="Microsoft Yahei"/>
          <w:color w:val="666666"/>
          <w:sz w:val="21"/>
          <w:szCs w:val="21"/>
        </w:rPr>
        <w:t>汇添富基金</w:t>
      </w:r>
      <w:proofErr w:type="gramEnd"/>
      <w:r>
        <w:rPr>
          <w:rFonts w:ascii="Microsoft Yahei" w:hAnsi="Microsoft Yahei"/>
          <w:color w:val="666666"/>
          <w:sz w:val="21"/>
          <w:szCs w:val="21"/>
        </w:rPr>
        <w:t>管理股份有限公司</w:t>
      </w:r>
      <w:bookmarkEnd w:id="4"/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公告依据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5" w:name="RANGE!G10"/>
      <w:r>
        <w:rPr>
          <w:rFonts w:ascii="Microsoft Yahei" w:hAnsi="Microsoft Yahei"/>
          <w:color w:val="666666"/>
          <w:sz w:val="21"/>
          <w:szCs w:val="21"/>
        </w:rPr>
        <w:t>根据《证券投资基金信息披露管理办法》等法律法规和《</w:t>
      </w:r>
      <w:bookmarkEnd w:id="5"/>
      <w:r>
        <w:rPr>
          <w:sz w:val="21"/>
          <w:szCs w:val="21"/>
        </w:rPr>
        <w:t>汇添富可转换债券债券型证券投资基金基金合同》的规定。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暂停相关业务的起始日、金额及原因说明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暂停大额申购起始日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6" w:name="RANGE!G11"/>
      <w:r>
        <w:rPr>
          <w:rFonts w:ascii="Microsoft Yahei" w:hAnsi="Microsoft Yahei"/>
          <w:color w:val="666666"/>
          <w:sz w:val="21"/>
          <w:szCs w:val="21"/>
        </w:rPr>
        <w:t>2018</w:t>
      </w:r>
      <w:bookmarkEnd w:id="6"/>
      <w:r>
        <w:rPr>
          <w:sz w:val="21"/>
          <w:szCs w:val="21"/>
        </w:rPr>
        <w:t>年6月20日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暂停大额转换转入起始日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2018年6月20日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限制申购金额（单位：人民币元）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1,000,000.00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7" w:name="RANGE!F14"/>
      <w:r>
        <w:rPr>
          <w:rFonts w:ascii="Microsoft Yahei" w:hAnsi="Microsoft Yahei"/>
          <w:color w:val="666666"/>
          <w:sz w:val="21"/>
          <w:szCs w:val="21"/>
        </w:rPr>
        <w:t>限制转换转入金额（单位：人民币元）</w:t>
      </w:r>
      <w:bookmarkEnd w:id="7"/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8" w:name="RANGE!G14"/>
      <w:r>
        <w:rPr>
          <w:rFonts w:ascii="Microsoft Yahei" w:hAnsi="Microsoft Yahei"/>
          <w:color w:val="666666"/>
          <w:sz w:val="21"/>
          <w:szCs w:val="21"/>
        </w:rPr>
        <w:t>1,000,000.00</w:t>
      </w:r>
      <w:bookmarkEnd w:id="8"/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暂停大额申购、转换转入的原因说明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lastRenderedPageBreak/>
        <w:t>为保护基金份额持有人的利益，根据《汇添富可转换债券债券型证券投资基金基金合同》的有关规定。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下属分级基金的基金简称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proofErr w:type="gramStart"/>
      <w:r>
        <w:rPr>
          <w:sz w:val="21"/>
          <w:szCs w:val="21"/>
        </w:rPr>
        <w:t>汇添富可</w:t>
      </w:r>
      <w:proofErr w:type="gramEnd"/>
      <w:r>
        <w:rPr>
          <w:sz w:val="21"/>
          <w:szCs w:val="21"/>
        </w:rPr>
        <w:t>转换</w:t>
      </w:r>
      <w:proofErr w:type="gramStart"/>
      <w:r>
        <w:rPr>
          <w:sz w:val="21"/>
          <w:szCs w:val="21"/>
        </w:rPr>
        <w:t>债券债券</w:t>
      </w:r>
      <w:proofErr w:type="gramEnd"/>
      <w:r>
        <w:rPr>
          <w:sz w:val="21"/>
          <w:szCs w:val="21"/>
        </w:rPr>
        <w:t>A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proofErr w:type="gramStart"/>
      <w:r>
        <w:rPr>
          <w:sz w:val="21"/>
          <w:szCs w:val="21"/>
        </w:rPr>
        <w:t>汇添富可</w:t>
      </w:r>
      <w:proofErr w:type="gramEnd"/>
      <w:r>
        <w:rPr>
          <w:sz w:val="21"/>
          <w:szCs w:val="21"/>
        </w:rPr>
        <w:t>转换</w:t>
      </w:r>
      <w:proofErr w:type="gramStart"/>
      <w:r>
        <w:rPr>
          <w:sz w:val="21"/>
          <w:szCs w:val="21"/>
        </w:rPr>
        <w:t>债券债券</w:t>
      </w:r>
      <w:proofErr w:type="gramEnd"/>
      <w:r>
        <w:rPr>
          <w:sz w:val="21"/>
          <w:szCs w:val="21"/>
        </w:rPr>
        <w:t>C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下属分级基金的交易代码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470058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470059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该分级基金是否暂停（大额）申购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是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是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注：1.本基金管理人自2018年6月20日起（含2018年6月20日）对本基金的大额申购、大额转换转入业务进行限制，即单日每个基金账户累计申购（</w:t>
      </w:r>
      <w:proofErr w:type="gramStart"/>
      <w:r>
        <w:rPr>
          <w:sz w:val="21"/>
          <w:szCs w:val="21"/>
        </w:rPr>
        <w:t>含定投</w:t>
      </w:r>
      <w:proofErr w:type="gramEnd"/>
      <w:r>
        <w:rPr>
          <w:sz w:val="21"/>
          <w:szCs w:val="21"/>
        </w:rPr>
        <w:t>及转入）本基金的金额不超过100万元。如</w:t>
      </w:r>
      <w:proofErr w:type="gramStart"/>
      <w:r>
        <w:rPr>
          <w:sz w:val="21"/>
          <w:szCs w:val="21"/>
        </w:rPr>
        <w:t>单日某</w:t>
      </w:r>
      <w:proofErr w:type="gramEnd"/>
      <w:r>
        <w:rPr>
          <w:sz w:val="21"/>
          <w:szCs w:val="21"/>
        </w:rPr>
        <w:t>基金账户单笔申购（</w:t>
      </w:r>
      <w:proofErr w:type="gramStart"/>
      <w:r>
        <w:rPr>
          <w:sz w:val="21"/>
          <w:szCs w:val="21"/>
        </w:rPr>
        <w:t>含定投</w:t>
      </w:r>
      <w:proofErr w:type="gramEnd"/>
      <w:r>
        <w:rPr>
          <w:sz w:val="21"/>
          <w:szCs w:val="21"/>
        </w:rPr>
        <w:t>及转入）本基金的金额超过100万元，则100万元确认申购成功，超过100万元金额的部分将确认失败；如</w:t>
      </w:r>
      <w:proofErr w:type="gramStart"/>
      <w:r>
        <w:rPr>
          <w:sz w:val="21"/>
          <w:szCs w:val="21"/>
        </w:rPr>
        <w:t>单日某</w:t>
      </w:r>
      <w:proofErr w:type="gramEnd"/>
      <w:r>
        <w:rPr>
          <w:sz w:val="21"/>
          <w:szCs w:val="21"/>
        </w:rPr>
        <w:t>基金账户多笔累计申购（</w:t>
      </w:r>
      <w:proofErr w:type="gramStart"/>
      <w:r>
        <w:rPr>
          <w:sz w:val="21"/>
          <w:szCs w:val="21"/>
        </w:rPr>
        <w:t>含定投</w:t>
      </w:r>
      <w:proofErr w:type="gramEnd"/>
      <w:r>
        <w:rPr>
          <w:sz w:val="21"/>
          <w:szCs w:val="21"/>
        </w:rPr>
        <w:t>及转入）本基金的金额超过100万元，基金管理人将逐笔累加至符合不超过100万元限额的申请确认成功，其余确认失败。单日同一客户通过不同销售机构发起的申购（</w:t>
      </w:r>
      <w:proofErr w:type="gramStart"/>
      <w:r>
        <w:rPr>
          <w:sz w:val="21"/>
          <w:szCs w:val="21"/>
        </w:rPr>
        <w:t>含定投</w:t>
      </w:r>
      <w:proofErr w:type="gramEnd"/>
      <w:r>
        <w:rPr>
          <w:sz w:val="21"/>
          <w:szCs w:val="21"/>
        </w:rPr>
        <w:t>及转换入）申请将合并判断处理。</w:t>
      </w:r>
      <w:r>
        <w:rPr>
          <w:sz w:val="21"/>
          <w:szCs w:val="21"/>
        </w:rPr>
        <w:br/>
        <w:t>    2.在本基金限制大额申购及大额转换转入业务期间，本公司将正常办理本基金的赎回等业务。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3.自2018年6月27日起，本基金将恢复办理大额申购及大额转换转入业务，届时不再另行公告。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rStyle w:val="apple-converted-space"/>
          <w:b/>
          <w:bCs/>
          <w:sz w:val="21"/>
          <w:szCs w:val="21"/>
        </w:rPr>
        <w:t> </w:t>
      </w:r>
      <w:r>
        <w:rPr>
          <w:b/>
          <w:bCs/>
          <w:sz w:val="21"/>
          <w:szCs w:val="21"/>
        </w:rPr>
        <w:t>其他需要提示的事项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r>
        <w:rPr>
          <w:sz w:val="21"/>
          <w:szCs w:val="21"/>
        </w:rPr>
        <w:t>投资者可以通过可以拨打本公司客服热线（400-888-9918）或登录本公司网站（www.99fund.com）获取相关信息。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rPr>
          <w:sz w:val="21"/>
          <w:szCs w:val="21"/>
        </w:rPr>
      </w:pPr>
      <w:bookmarkStart w:id="9" w:name="RANGE!E21"/>
      <w:proofErr w:type="gramStart"/>
      <w:r>
        <w:rPr>
          <w:rFonts w:ascii="Microsoft Yahei" w:hAnsi="Microsoft Yahei"/>
          <w:color w:val="666666"/>
          <w:sz w:val="21"/>
          <w:szCs w:val="21"/>
        </w:rPr>
        <w:t>汇添富基金</w:t>
      </w:r>
      <w:proofErr w:type="gramEnd"/>
      <w:r>
        <w:rPr>
          <w:rFonts w:ascii="Microsoft Yahei" w:hAnsi="Microsoft Yahei"/>
          <w:color w:val="666666"/>
          <w:sz w:val="21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  <w:bookmarkEnd w:id="9"/>
      <w:r>
        <w:rPr>
          <w:rStyle w:val="apple-converted-space"/>
          <w:sz w:val="21"/>
          <w:szCs w:val="21"/>
        </w:rPr>
        <w:t> </w:t>
      </w:r>
      <w:r>
        <w:rPr>
          <w:sz w:val="21"/>
          <w:szCs w:val="21"/>
        </w:rPr>
        <w:br/>
        <w:t>    特此公告。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jc w:val="right"/>
        <w:rPr>
          <w:sz w:val="21"/>
          <w:szCs w:val="21"/>
        </w:rPr>
      </w:pPr>
      <w:bookmarkStart w:id="10" w:name="RANGE!E22"/>
      <w:bookmarkEnd w:id="10"/>
      <w:proofErr w:type="gramStart"/>
      <w:r>
        <w:rPr>
          <w:sz w:val="21"/>
          <w:szCs w:val="21"/>
        </w:rPr>
        <w:lastRenderedPageBreak/>
        <w:t>汇添富基金</w:t>
      </w:r>
      <w:proofErr w:type="gramEnd"/>
      <w:r>
        <w:rPr>
          <w:sz w:val="21"/>
          <w:szCs w:val="21"/>
        </w:rPr>
        <w:t>管理股份有限公司</w:t>
      </w:r>
    </w:p>
    <w:p w:rsidR="007778D5" w:rsidRDefault="007778D5" w:rsidP="007778D5">
      <w:pPr>
        <w:pStyle w:val="a5"/>
        <w:spacing w:before="0" w:beforeAutospacing="0" w:after="240" w:afterAutospacing="0" w:line="360" w:lineRule="atLeast"/>
        <w:ind w:firstLine="420"/>
        <w:jc w:val="right"/>
        <w:rPr>
          <w:sz w:val="21"/>
          <w:szCs w:val="21"/>
        </w:rPr>
      </w:pPr>
      <w:r>
        <w:rPr>
          <w:sz w:val="21"/>
          <w:szCs w:val="21"/>
        </w:rPr>
        <w:t>2018年6月19日</w:t>
      </w:r>
    </w:p>
    <w:p w:rsidR="00206EE4" w:rsidRPr="007778D5" w:rsidRDefault="00206EE4" w:rsidP="00206EE4">
      <w:pPr>
        <w:jc w:val="center"/>
      </w:pPr>
    </w:p>
    <w:sectPr w:rsidR="00206EE4" w:rsidRPr="007778D5" w:rsidSect="004E2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E4" w:rsidRDefault="00206EE4" w:rsidP="00206EE4">
      <w:r>
        <w:separator/>
      </w:r>
    </w:p>
  </w:endnote>
  <w:endnote w:type="continuationSeparator" w:id="0">
    <w:p w:rsidR="00206EE4" w:rsidRDefault="00206EE4" w:rsidP="0020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E4" w:rsidRDefault="00206EE4" w:rsidP="00206EE4">
      <w:r>
        <w:separator/>
      </w:r>
    </w:p>
  </w:footnote>
  <w:footnote w:type="continuationSeparator" w:id="0">
    <w:p w:rsidR="00206EE4" w:rsidRDefault="00206EE4" w:rsidP="00206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EE4"/>
    <w:rsid w:val="00206EE4"/>
    <w:rsid w:val="004E29C0"/>
    <w:rsid w:val="007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E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7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7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2018-06-19T07:14:00Z</dcterms:created>
  <dcterms:modified xsi:type="dcterms:W3CDTF">2018-06-19T07:15:00Z</dcterms:modified>
</cp:coreProperties>
</file>