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AC" w:rsidRDefault="00EF1659" w:rsidP="00EF1659">
      <w:pPr>
        <w:jc w:val="center"/>
        <w:rPr>
          <w:rFonts w:hint="eastAsia"/>
        </w:rPr>
      </w:pPr>
      <w:r w:rsidRPr="00EF1659">
        <w:rPr>
          <w:rFonts w:hint="eastAsia"/>
        </w:rPr>
        <w:t>广发基金管理有限公司关于广发天天利货币市场基金</w:t>
      </w:r>
      <w:r w:rsidRPr="00EF1659">
        <w:rPr>
          <w:rFonts w:hint="eastAsia"/>
        </w:rPr>
        <w:t>AB</w:t>
      </w:r>
      <w:r w:rsidRPr="00EF1659">
        <w:rPr>
          <w:rFonts w:hint="eastAsia"/>
        </w:rPr>
        <w:t>类份额端午节假期前暂停申购的公告</w:t>
      </w:r>
    </w:p>
    <w:p w:rsidR="00EF1659" w:rsidRPr="00EF1659" w:rsidRDefault="00EF1659" w:rsidP="00EF1659">
      <w:pPr>
        <w:widowControl/>
        <w:spacing w:line="540" w:lineRule="atLeast"/>
        <w:jc w:val="left"/>
        <w:rPr>
          <w:rFonts w:ascii="微软雅黑" w:eastAsia="微软雅黑" w:hAnsi="微软雅黑" w:cs="宋体"/>
          <w:color w:val="4D4D4D"/>
          <w:kern w:val="0"/>
          <w:sz w:val="24"/>
          <w:szCs w:val="24"/>
        </w:rPr>
      </w:pPr>
      <w:r w:rsidRPr="00EF1659">
        <w:rPr>
          <w:rFonts w:ascii="微软雅黑" w:eastAsia="微软雅黑" w:hAnsi="微软雅黑" w:cs="宋体" w:hint="eastAsia"/>
          <w:color w:val="4D4D4D"/>
          <w:kern w:val="0"/>
          <w:sz w:val="24"/>
          <w:szCs w:val="24"/>
        </w:rPr>
        <w:t>1. 公告基本信息</w:t>
      </w:r>
    </w:p>
    <w:tbl>
      <w:tblPr>
        <w:tblW w:w="10305" w:type="dxa"/>
        <w:tblInd w:w="-992" w:type="dxa"/>
        <w:tblCellMar>
          <w:left w:w="0" w:type="dxa"/>
          <w:right w:w="0" w:type="dxa"/>
        </w:tblCellMar>
        <w:tblLook w:val="04A0"/>
      </w:tblPr>
      <w:tblGrid>
        <w:gridCol w:w="2465"/>
        <w:gridCol w:w="3920"/>
        <w:gridCol w:w="3920"/>
      </w:tblGrid>
      <w:tr w:rsidR="00EF1659" w:rsidRPr="00EF1659" w:rsidTr="00EF1659">
        <w:tc>
          <w:tcPr>
            <w:tcW w:w="2465" w:type="dxa"/>
            <w:tcBorders>
              <w:top w:val="single" w:sz="8" w:space="0" w:color="auto"/>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基金名称</w:t>
            </w:r>
          </w:p>
        </w:tc>
        <w:tc>
          <w:tcPr>
            <w:tcW w:w="7840" w:type="dxa"/>
            <w:gridSpan w:val="2"/>
            <w:tcBorders>
              <w:top w:val="single" w:sz="8" w:space="0" w:color="auto"/>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广发天天利货币市场基金</w:t>
            </w:r>
          </w:p>
        </w:tc>
      </w:tr>
      <w:tr w:rsidR="00EF1659" w:rsidRPr="00EF1659" w:rsidTr="00EF1659">
        <w:tc>
          <w:tcPr>
            <w:tcW w:w="2465"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基金简称</w:t>
            </w:r>
          </w:p>
        </w:tc>
        <w:tc>
          <w:tcPr>
            <w:tcW w:w="7840" w:type="dxa"/>
            <w:gridSpan w:val="2"/>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广发天天</w:t>
            </w:r>
            <w:proofErr w:type="gramStart"/>
            <w:r w:rsidRPr="00EF1659">
              <w:rPr>
                <w:rFonts w:ascii="微软雅黑" w:eastAsia="微软雅黑" w:hAnsi="微软雅黑" w:cs="宋体" w:hint="eastAsia"/>
                <w:color w:val="4D4D4D"/>
                <w:kern w:val="0"/>
                <w:szCs w:val="21"/>
              </w:rPr>
              <w:t>利货币</w:t>
            </w:r>
            <w:proofErr w:type="gramEnd"/>
          </w:p>
        </w:tc>
      </w:tr>
      <w:tr w:rsidR="00EF1659" w:rsidRPr="00EF1659" w:rsidTr="00EF1659">
        <w:tc>
          <w:tcPr>
            <w:tcW w:w="2465"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基金主代码</w:t>
            </w:r>
          </w:p>
        </w:tc>
        <w:tc>
          <w:tcPr>
            <w:tcW w:w="7840" w:type="dxa"/>
            <w:gridSpan w:val="2"/>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000475</w:t>
            </w:r>
          </w:p>
        </w:tc>
      </w:tr>
      <w:tr w:rsidR="00EF1659" w:rsidRPr="00EF1659" w:rsidTr="00EF1659">
        <w:tc>
          <w:tcPr>
            <w:tcW w:w="2465"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基金管理人名称</w:t>
            </w:r>
          </w:p>
        </w:tc>
        <w:tc>
          <w:tcPr>
            <w:tcW w:w="7840" w:type="dxa"/>
            <w:gridSpan w:val="2"/>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广发基金管理有限公司</w:t>
            </w:r>
          </w:p>
        </w:tc>
      </w:tr>
      <w:tr w:rsidR="00EF1659" w:rsidRPr="00EF1659" w:rsidTr="00EF1659">
        <w:tc>
          <w:tcPr>
            <w:tcW w:w="2465"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公告依据</w:t>
            </w:r>
          </w:p>
        </w:tc>
        <w:tc>
          <w:tcPr>
            <w:tcW w:w="7840" w:type="dxa"/>
            <w:gridSpan w:val="2"/>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《广发天天利货币市场基金基金合同》</w:t>
            </w:r>
          </w:p>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《广发天天利货币市场基金招募说明书》</w:t>
            </w:r>
          </w:p>
        </w:tc>
      </w:tr>
      <w:tr w:rsidR="00EF1659" w:rsidRPr="00EF1659" w:rsidTr="00EF1659">
        <w:trPr>
          <w:trHeight w:val="423"/>
        </w:trPr>
        <w:tc>
          <w:tcPr>
            <w:tcW w:w="2465" w:type="dxa"/>
            <w:vMerge w:val="restart"/>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暂停相关业务的起始日、金额及原因说明</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暂停申购起始日</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2018年6月14日</w:t>
            </w:r>
          </w:p>
        </w:tc>
      </w:tr>
      <w:tr w:rsidR="00EF1659" w:rsidRPr="00EF1659" w:rsidTr="00EF1659">
        <w:trPr>
          <w:trHeight w:val="423"/>
        </w:trPr>
        <w:tc>
          <w:tcPr>
            <w:tcW w:w="0" w:type="auto"/>
            <w:vMerge/>
            <w:tcBorders>
              <w:top w:val="nil"/>
              <w:left w:val="single" w:sz="8" w:space="0" w:color="auto"/>
              <w:bottom w:val="single" w:sz="8" w:space="0" w:color="auto"/>
              <w:right w:val="single" w:sz="8" w:space="0" w:color="auto"/>
            </w:tcBorders>
            <w:vAlign w:val="center"/>
            <w:hideMark/>
          </w:tcPr>
          <w:p w:rsidR="00EF1659" w:rsidRPr="00EF1659" w:rsidRDefault="00EF1659" w:rsidP="00EF1659">
            <w:pPr>
              <w:widowControl/>
              <w:jc w:val="left"/>
              <w:rPr>
                <w:rFonts w:ascii="微软雅黑" w:eastAsia="微软雅黑" w:hAnsi="微软雅黑" w:cs="宋体"/>
                <w:color w:val="4D4D4D"/>
                <w:kern w:val="0"/>
                <w:szCs w:val="21"/>
              </w:rPr>
            </w:pP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暂停定期定额和</w:t>
            </w:r>
            <w:proofErr w:type="gramStart"/>
            <w:r w:rsidRPr="00EF1659">
              <w:rPr>
                <w:rFonts w:ascii="微软雅黑" w:eastAsia="微软雅黑" w:hAnsi="微软雅黑" w:cs="宋体" w:hint="eastAsia"/>
                <w:color w:val="4D4D4D"/>
                <w:kern w:val="0"/>
                <w:szCs w:val="21"/>
              </w:rPr>
              <w:t>不</w:t>
            </w:r>
            <w:proofErr w:type="gramEnd"/>
            <w:r w:rsidRPr="00EF1659">
              <w:rPr>
                <w:rFonts w:ascii="微软雅黑" w:eastAsia="微软雅黑" w:hAnsi="微软雅黑" w:cs="宋体" w:hint="eastAsia"/>
                <w:color w:val="4D4D4D"/>
                <w:kern w:val="0"/>
                <w:szCs w:val="21"/>
              </w:rPr>
              <w:t>定额投资起始日</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2018年6月14日</w:t>
            </w:r>
          </w:p>
        </w:tc>
      </w:tr>
      <w:tr w:rsidR="00EF1659" w:rsidRPr="00EF1659" w:rsidTr="00EF1659">
        <w:trPr>
          <w:trHeight w:val="423"/>
        </w:trPr>
        <w:tc>
          <w:tcPr>
            <w:tcW w:w="0" w:type="auto"/>
            <w:vMerge/>
            <w:tcBorders>
              <w:top w:val="nil"/>
              <w:left w:val="single" w:sz="8" w:space="0" w:color="auto"/>
              <w:bottom w:val="single" w:sz="8" w:space="0" w:color="auto"/>
              <w:right w:val="single" w:sz="8" w:space="0" w:color="auto"/>
            </w:tcBorders>
            <w:vAlign w:val="center"/>
            <w:hideMark/>
          </w:tcPr>
          <w:p w:rsidR="00EF1659" w:rsidRPr="00EF1659" w:rsidRDefault="00EF1659" w:rsidP="00EF1659">
            <w:pPr>
              <w:widowControl/>
              <w:jc w:val="left"/>
              <w:rPr>
                <w:rFonts w:ascii="微软雅黑" w:eastAsia="微软雅黑" w:hAnsi="微软雅黑" w:cs="宋体"/>
                <w:color w:val="4D4D4D"/>
                <w:kern w:val="0"/>
                <w:szCs w:val="21"/>
              </w:rPr>
            </w:pP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暂停转换转入起始日</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2018年6月14日</w:t>
            </w:r>
          </w:p>
        </w:tc>
      </w:tr>
      <w:tr w:rsidR="00EF1659" w:rsidRPr="00EF1659" w:rsidTr="00EF1659">
        <w:trPr>
          <w:trHeight w:val="423"/>
        </w:trPr>
        <w:tc>
          <w:tcPr>
            <w:tcW w:w="0" w:type="auto"/>
            <w:vMerge/>
            <w:tcBorders>
              <w:top w:val="nil"/>
              <w:left w:val="single" w:sz="8" w:space="0" w:color="auto"/>
              <w:bottom w:val="single" w:sz="8" w:space="0" w:color="auto"/>
              <w:right w:val="single" w:sz="8" w:space="0" w:color="auto"/>
            </w:tcBorders>
            <w:vAlign w:val="center"/>
            <w:hideMark/>
          </w:tcPr>
          <w:p w:rsidR="00EF1659" w:rsidRPr="00EF1659" w:rsidRDefault="00EF1659" w:rsidP="00EF1659">
            <w:pPr>
              <w:widowControl/>
              <w:jc w:val="left"/>
              <w:rPr>
                <w:rFonts w:ascii="微软雅黑" w:eastAsia="微软雅黑" w:hAnsi="微软雅黑" w:cs="宋体"/>
                <w:color w:val="4D4D4D"/>
                <w:kern w:val="0"/>
                <w:szCs w:val="21"/>
              </w:rPr>
            </w:pP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暂停申购（转换转入、定期定额和</w:t>
            </w:r>
            <w:proofErr w:type="gramStart"/>
            <w:r w:rsidRPr="00EF1659">
              <w:rPr>
                <w:rFonts w:ascii="微软雅黑" w:eastAsia="微软雅黑" w:hAnsi="微软雅黑" w:cs="宋体" w:hint="eastAsia"/>
                <w:color w:val="4D4D4D"/>
                <w:kern w:val="0"/>
                <w:szCs w:val="21"/>
              </w:rPr>
              <w:t>不</w:t>
            </w:r>
            <w:proofErr w:type="gramEnd"/>
            <w:r w:rsidRPr="00EF1659">
              <w:rPr>
                <w:rFonts w:ascii="微软雅黑" w:eastAsia="微软雅黑" w:hAnsi="微软雅黑" w:cs="宋体" w:hint="eastAsia"/>
                <w:color w:val="4D4D4D"/>
                <w:kern w:val="0"/>
                <w:szCs w:val="21"/>
              </w:rPr>
              <w:t>定额投资）的原因说明</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保护现有基金份额持有人利益</w:t>
            </w:r>
          </w:p>
        </w:tc>
      </w:tr>
      <w:tr w:rsidR="00EF1659" w:rsidRPr="00EF1659" w:rsidTr="00EF1659">
        <w:tc>
          <w:tcPr>
            <w:tcW w:w="2465"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下属分级基金的基金简称</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广发天天</w:t>
            </w:r>
            <w:proofErr w:type="gramStart"/>
            <w:r w:rsidRPr="00EF1659">
              <w:rPr>
                <w:rFonts w:ascii="微软雅黑" w:eastAsia="微软雅黑" w:hAnsi="微软雅黑" w:cs="宋体" w:hint="eastAsia"/>
                <w:color w:val="4D4D4D"/>
                <w:kern w:val="0"/>
                <w:szCs w:val="21"/>
              </w:rPr>
              <w:t>利货币</w:t>
            </w:r>
            <w:proofErr w:type="gramEnd"/>
            <w:r w:rsidRPr="00EF1659">
              <w:rPr>
                <w:rFonts w:ascii="微软雅黑" w:eastAsia="微软雅黑" w:hAnsi="微软雅黑" w:cs="宋体" w:hint="eastAsia"/>
                <w:color w:val="4D4D4D"/>
                <w:kern w:val="0"/>
                <w:szCs w:val="21"/>
              </w:rPr>
              <w:t>A</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广发天天</w:t>
            </w:r>
            <w:proofErr w:type="gramStart"/>
            <w:r w:rsidRPr="00EF1659">
              <w:rPr>
                <w:rFonts w:ascii="微软雅黑" w:eastAsia="微软雅黑" w:hAnsi="微软雅黑" w:cs="宋体" w:hint="eastAsia"/>
                <w:color w:val="4D4D4D"/>
                <w:kern w:val="0"/>
                <w:szCs w:val="21"/>
              </w:rPr>
              <w:t>利货币</w:t>
            </w:r>
            <w:proofErr w:type="gramEnd"/>
            <w:r w:rsidRPr="00EF1659">
              <w:rPr>
                <w:rFonts w:ascii="微软雅黑" w:eastAsia="微软雅黑" w:hAnsi="微软雅黑" w:cs="宋体" w:hint="eastAsia"/>
                <w:color w:val="4D4D4D"/>
                <w:kern w:val="0"/>
                <w:szCs w:val="21"/>
              </w:rPr>
              <w:t>B</w:t>
            </w:r>
          </w:p>
        </w:tc>
      </w:tr>
      <w:tr w:rsidR="00EF1659" w:rsidRPr="00EF1659" w:rsidTr="00EF1659">
        <w:tc>
          <w:tcPr>
            <w:tcW w:w="2465"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下属分级基金的交易代码</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000475</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000476</w:t>
            </w:r>
          </w:p>
        </w:tc>
      </w:tr>
      <w:tr w:rsidR="00EF1659" w:rsidRPr="00EF1659" w:rsidTr="00EF1659">
        <w:tc>
          <w:tcPr>
            <w:tcW w:w="2465" w:type="dxa"/>
            <w:tcBorders>
              <w:top w:val="nil"/>
              <w:left w:val="single" w:sz="8" w:space="0" w:color="auto"/>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该分级基金是否暂停申购（转换转入、定期定额和</w:t>
            </w:r>
            <w:proofErr w:type="gramStart"/>
            <w:r w:rsidRPr="00EF1659">
              <w:rPr>
                <w:rFonts w:ascii="微软雅黑" w:eastAsia="微软雅黑" w:hAnsi="微软雅黑" w:cs="宋体" w:hint="eastAsia"/>
                <w:color w:val="4D4D4D"/>
                <w:kern w:val="0"/>
                <w:szCs w:val="21"/>
              </w:rPr>
              <w:t>不</w:t>
            </w:r>
            <w:proofErr w:type="gramEnd"/>
            <w:r w:rsidRPr="00EF1659">
              <w:rPr>
                <w:rFonts w:ascii="微软雅黑" w:eastAsia="微软雅黑" w:hAnsi="微软雅黑" w:cs="宋体" w:hint="eastAsia"/>
                <w:color w:val="4D4D4D"/>
                <w:kern w:val="0"/>
                <w:szCs w:val="21"/>
              </w:rPr>
              <w:t>定额投资）</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暂停申购、转换转入、定期定额和</w:t>
            </w:r>
            <w:proofErr w:type="gramStart"/>
            <w:r w:rsidRPr="00EF1659">
              <w:rPr>
                <w:rFonts w:ascii="微软雅黑" w:eastAsia="微软雅黑" w:hAnsi="微软雅黑" w:cs="宋体" w:hint="eastAsia"/>
                <w:color w:val="4D4D4D"/>
                <w:kern w:val="0"/>
                <w:szCs w:val="21"/>
              </w:rPr>
              <w:t>不</w:t>
            </w:r>
            <w:proofErr w:type="gramEnd"/>
            <w:r w:rsidRPr="00EF1659">
              <w:rPr>
                <w:rFonts w:ascii="微软雅黑" w:eastAsia="微软雅黑" w:hAnsi="微软雅黑" w:cs="宋体" w:hint="eastAsia"/>
                <w:color w:val="4D4D4D"/>
                <w:kern w:val="0"/>
                <w:szCs w:val="21"/>
              </w:rPr>
              <w:t>定额投资</w:t>
            </w:r>
          </w:p>
        </w:tc>
        <w:tc>
          <w:tcPr>
            <w:tcW w:w="3920" w:type="dxa"/>
            <w:tcBorders>
              <w:top w:val="nil"/>
              <w:left w:val="nil"/>
              <w:bottom w:val="single" w:sz="8" w:space="0" w:color="auto"/>
              <w:right w:val="single" w:sz="8" w:space="0" w:color="auto"/>
            </w:tcBorders>
            <w:tcMar>
              <w:top w:w="60" w:type="dxa"/>
              <w:left w:w="60" w:type="dxa"/>
              <w:bottom w:w="60" w:type="dxa"/>
              <w:right w:w="60" w:type="dxa"/>
            </w:tcMar>
            <w:hideMark/>
          </w:tcPr>
          <w:p w:rsidR="00EF1659" w:rsidRPr="00EF1659" w:rsidRDefault="00EF1659" w:rsidP="00EF1659">
            <w:pPr>
              <w:widowControl/>
              <w:spacing w:line="540" w:lineRule="atLeast"/>
              <w:jc w:val="center"/>
              <w:rPr>
                <w:rFonts w:ascii="微软雅黑" w:eastAsia="微软雅黑" w:hAnsi="微软雅黑" w:cs="宋体"/>
                <w:color w:val="4D4D4D"/>
                <w:kern w:val="0"/>
                <w:szCs w:val="21"/>
              </w:rPr>
            </w:pPr>
            <w:r w:rsidRPr="00EF1659">
              <w:rPr>
                <w:rFonts w:ascii="微软雅黑" w:eastAsia="微软雅黑" w:hAnsi="微软雅黑" w:cs="宋体" w:hint="eastAsia"/>
                <w:color w:val="4D4D4D"/>
                <w:kern w:val="0"/>
                <w:szCs w:val="21"/>
              </w:rPr>
              <w:t>暂停申购、转换转入</w:t>
            </w:r>
          </w:p>
        </w:tc>
      </w:tr>
    </w:tbl>
    <w:p w:rsidR="00EF1659" w:rsidRPr="00EF1659" w:rsidRDefault="00EF1659" w:rsidP="00EF1659">
      <w:pPr>
        <w:widowControl/>
        <w:spacing w:before="150" w:after="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lastRenderedPageBreak/>
        <w:t xml:space="preserve">　　注：1、广发天天</w:t>
      </w:r>
      <w:proofErr w:type="gramStart"/>
      <w:r w:rsidRPr="00EF1659">
        <w:rPr>
          <w:rFonts w:ascii="微软雅黑" w:eastAsia="微软雅黑" w:hAnsi="微软雅黑" w:cs="宋体" w:hint="eastAsia"/>
          <w:color w:val="4D4D4D"/>
          <w:kern w:val="0"/>
          <w:sz w:val="24"/>
          <w:szCs w:val="24"/>
        </w:rPr>
        <w:t>利货币</w:t>
      </w:r>
      <w:proofErr w:type="gramEnd"/>
      <w:r w:rsidRPr="00EF1659">
        <w:rPr>
          <w:rFonts w:ascii="微软雅黑" w:eastAsia="微软雅黑" w:hAnsi="微软雅黑" w:cs="宋体" w:hint="eastAsia"/>
          <w:color w:val="4D4D4D"/>
          <w:kern w:val="0"/>
          <w:sz w:val="24"/>
          <w:szCs w:val="24"/>
        </w:rPr>
        <w:t>基金（以下简称“本基金”）目前大额申购限额为500万元（详见本公司2014年4月11日发布的《广发基金管理有限公司关于广发天天利货币市场基金调整限制大额申购金额的公告》），为保护本基金现有份额持有人利益，我司决定端午节假期前暂停本基金A\B类份额的申购业务。具体措施如下：从2018年6月14日起，本基金将暂停A\B类份额的申购（含定期定额和</w:t>
      </w:r>
      <w:proofErr w:type="gramStart"/>
      <w:r w:rsidRPr="00EF1659">
        <w:rPr>
          <w:rFonts w:ascii="微软雅黑" w:eastAsia="微软雅黑" w:hAnsi="微软雅黑" w:cs="宋体" w:hint="eastAsia"/>
          <w:color w:val="4D4D4D"/>
          <w:kern w:val="0"/>
          <w:sz w:val="24"/>
          <w:szCs w:val="24"/>
        </w:rPr>
        <w:t>不</w:t>
      </w:r>
      <w:proofErr w:type="gramEnd"/>
      <w:r w:rsidRPr="00EF1659">
        <w:rPr>
          <w:rFonts w:ascii="微软雅黑" w:eastAsia="微软雅黑" w:hAnsi="微软雅黑" w:cs="宋体" w:hint="eastAsia"/>
          <w:color w:val="4D4D4D"/>
          <w:kern w:val="0"/>
          <w:sz w:val="24"/>
          <w:szCs w:val="24"/>
        </w:rPr>
        <w:t>定额投资业务）和转换转入业务。在本基金暂停A\B类份额申购（含定期定额和</w:t>
      </w:r>
      <w:proofErr w:type="gramStart"/>
      <w:r w:rsidRPr="00EF1659">
        <w:rPr>
          <w:rFonts w:ascii="微软雅黑" w:eastAsia="微软雅黑" w:hAnsi="微软雅黑" w:cs="宋体" w:hint="eastAsia"/>
          <w:color w:val="4D4D4D"/>
          <w:kern w:val="0"/>
          <w:sz w:val="24"/>
          <w:szCs w:val="24"/>
        </w:rPr>
        <w:t>不</w:t>
      </w:r>
      <w:proofErr w:type="gramEnd"/>
      <w:r w:rsidRPr="00EF1659">
        <w:rPr>
          <w:rFonts w:ascii="微软雅黑" w:eastAsia="微软雅黑" w:hAnsi="微软雅黑" w:cs="宋体" w:hint="eastAsia"/>
          <w:color w:val="4D4D4D"/>
          <w:kern w:val="0"/>
          <w:sz w:val="24"/>
          <w:szCs w:val="24"/>
        </w:rPr>
        <w:t>定额投资业务）及转换转入业务期间，其它业务正常办理。</w:t>
      </w:r>
    </w:p>
    <w:p w:rsidR="00EF1659" w:rsidRPr="00EF1659" w:rsidRDefault="00EF1659" w:rsidP="00EF1659">
      <w:pPr>
        <w:widowControl/>
        <w:spacing w:before="150" w:after="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t xml:space="preserve">　　2、从2018年6月19日开始恢复本基金500万元的限额申购，即本基金暂停单日单账户通过申购（含定期定额和</w:t>
      </w:r>
      <w:proofErr w:type="gramStart"/>
      <w:r w:rsidRPr="00EF1659">
        <w:rPr>
          <w:rFonts w:ascii="微软雅黑" w:eastAsia="微软雅黑" w:hAnsi="微软雅黑" w:cs="宋体" w:hint="eastAsia"/>
          <w:color w:val="4D4D4D"/>
          <w:kern w:val="0"/>
          <w:sz w:val="24"/>
          <w:szCs w:val="24"/>
        </w:rPr>
        <w:t>不</w:t>
      </w:r>
      <w:proofErr w:type="gramEnd"/>
      <w:r w:rsidRPr="00EF1659">
        <w:rPr>
          <w:rFonts w:ascii="微软雅黑" w:eastAsia="微软雅黑" w:hAnsi="微软雅黑" w:cs="宋体" w:hint="eastAsia"/>
          <w:color w:val="4D4D4D"/>
          <w:kern w:val="0"/>
          <w:sz w:val="24"/>
          <w:szCs w:val="24"/>
        </w:rPr>
        <w:t>定额投资业务）及转换转入合计超过500万元（不含）的大额业务，如单日单个基金账户合计申购（含定期定额和</w:t>
      </w:r>
      <w:proofErr w:type="gramStart"/>
      <w:r w:rsidRPr="00EF1659">
        <w:rPr>
          <w:rFonts w:ascii="微软雅黑" w:eastAsia="微软雅黑" w:hAnsi="微软雅黑" w:cs="宋体" w:hint="eastAsia"/>
          <w:color w:val="4D4D4D"/>
          <w:kern w:val="0"/>
          <w:sz w:val="24"/>
          <w:szCs w:val="24"/>
        </w:rPr>
        <w:t>不</w:t>
      </w:r>
      <w:proofErr w:type="gramEnd"/>
      <w:r w:rsidRPr="00EF1659">
        <w:rPr>
          <w:rFonts w:ascii="微软雅黑" w:eastAsia="微软雅黑" w:hAnsi="微软雅黑" w:cs="宋体" w:hint="eastAsia"/>
          <w:color w:val="4D4D4D"/>
          <w:kern w:val="0"/>
          <w:sz w:val="24"/>
          <w:szCs w:val="24"/>
        </w:rPr>
        <w:t>定额投资业务）及转换转入本基金金额超过500万元（不含），本基金注册登记人将有权确认相关业务失败，届时将</w:t>
      </w:r>
      <w:proofErr w:type="gramStart"/>
      <w:r w:rsidRPr="00EF1659">
        <w:rPr>
          <w:rFonts w:ascii="微软雅黑" w:eastAsia="微软雅黑" w:hAnsi="微软雅黑" w:cs="宋体" w:hint="eastAsia"/>
          <w:color w:val="4D4D4D"/>
          <w:kern w:val="0"/>
          <w:sz w:val="24"/>
          <w:szCs w:val="24"/>
        </w:rPr>
        <w:t>不</w:t>
      </w:r>
      <w:proofErr w:type="gramEnd"/>
      <w:r w:rsidRPr="00EF1659">
        <w:rPr>
          <w:rFonts w:ascii="微软雅黑" w:eastAsia="微软雅黑" w:hAnsi="微软雅黑" w:cs="宋体" w:hint="eastAsia"/>
          <w:color w:val="4D4D4D"/>
          <w:kern w:val="0"/>
          <w:sz w:val="24"/>
          <w:szCs w:val="24"/>
        </w:rPr>
        <w:t>另行公告。</w:t>
      </w:r>
    </w:p>
    <w:p w:rsidR="00EF1659" w:rsidRPr="00EF1659" w:rsidRDefault="00EF1659" w:rsidP="00EF1659">
      <w:pPr>
        <w:widowControl/>
        <w:spacing w:before="150" w:after="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t xml:space="preserve">　　2.其他需要提示的事项</w:t>
      </w:r>
    </w:p>
    <w:p w:rsidR="00EF1659" w:rsidRPr="00EF1659" w:rsidRDefault="00EF1659" w:rsidP="00EF1659">
      <w:pPr>
        <w:widowControl/>
        <w:spacing w:before="150" w:after="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t xml:space="preserve">　　1、享受端午节期间本基金收益：投资者需于2018年6月13日15：00之前提起有效申购申请，本基金注册登记机构将于2018年6月14日进行确认，投资者将从2018年6月14日开始享受本基金的收益。</w:t>
      </w:r>
    </w:p>
    <w:p w:rsidR="00EF1659" w:rsidRPr="00EF1659" w:rsidRDefault="00EF1659" w:rsidP="00EF1659">
      <w:pPr>
        <w:widowControl/>
        <w:spacing w:before="150" w:after="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t xml:space="preserve">　　2、敬请投资者及早做好交易安排，避免因交易跨越端午节假期，带来不便。如有疑问，请拨打本公司客户服务热线：95105828（免长途费），或登陆本公司网站www.gffunds.com.cn获取相关信息。</w:t>
      </w:r>
    </w:p>
    <w:p w:rsidR="00EF1659" w:rsidRPr="00EF1659" w:rsidRDefault="00EF1659" w:rsidP="00EF1659">
      <w:pPr>
        <w:widowControl/>
        <w:spacing w:before="150" w:after="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t xml:space="preserve">　　特此公告。</w:t>
      </w:r>
    </w:p>
    <w:p w:rsidR="00EF1659" w:rsidRPr="00EF1659" w:rsidRDefault="00EF1659" w:rsidP="00EF1659">
      <w:pPr>
        <w:widowControl/>
        <w:spacing w:before="150" w:after="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t xml:space="preserve">　　广发基金管理有限公司</w:t>
      </w:r>
    </w:p>
    <w:p w:rsidR="00EF1659" w:rsidRPr="00EF1659" w:rsidRDefault="00EF1659" w:rsidP="00EF1659">
      <w:pPr>
        <w:widowControl/>
        <w:spacing w:before="150" w:line="540" w:lineRule="atLeast"/>
        <w:jc w:val="left"/>
        <w:rPr>
          <w:rFonts w:ascii="微软雅黑" w:eastAsia="微软雅黑" w:hAnsi="微软雅黑" w:cs="宋体" w:hint="eastAsia"/>
          <w:color w:val="4D4D4D"/>
          <w:kern w:val="0"/>
          <w:sz w:val="24"/>
          <w:szCs w:val="24"/>
        </w:rPr>
      </w:pPr>
      <w:r w:rsidRPr="00EF1659">
        <w:rPr>
          <w:rFonts w:ascii="微软雅黑" w:eastAsia="微软雅黑" w:hAnsi="微软雅黑" w:cs="宋体" w:hint="eastAsia"/>
          <w:color w:val="4D4D4D"/>
          <w:kern w:val="0"/>
          <w:sz w:val="24"/>
          <w:szCs w:val="24"/>
        </w:rPr>
        <w:lastRenderedPageBreak/>
        <w:t xml:space="preserve">　　2018年6月12日</w:t>
      </w:r>
    </w:p>
    <w:p w:rsidR="00EF1659" w:rsidRPr="00EF1659" w:rsidRDefault="00EF1659" w:rsidP="00EF1659">
      <w:pPr>
        <w:jc w:val="center"/>
      </w:pPr>
    </w:p>
    <w:sectPr w:rsidR="00EF1659" w:rsidRPr="00EF1659" w:rsidSect="00C979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659" w:rsidRDefault="00EF1659" w:rsidP="00EF1659">
      <w:r>
        <w:separator/>
      </w:r>
    </w:p>
  </w:endnote>
  <w:endnote w:type="continuationSeparator" w:id="0">
    <w:p w:rsidR="00EF1659" w:rsidRDefault="00EF1659" w:rsidP="00EF16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659" w:rsidRDefault="00EF1659" w:rsidP="00EF1659">
      <w:r>
        <w:separator/>
      </w:r>
    </w:p>
  </w:footnote>
  <w:footnote w:type="continuationSeparator" w:id="0">
    <w:p w:rsidR="00EF1659" w:rsidRDefault="00EF1659" w:rsidP="00EF16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659"/>
    <w:rsid w:val="00C979AC"/>
    <w:rsid w:val="00EF16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9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6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659"/>
    <w:rPr>
      <w:sz w:val="18"/>
      <w:szCs w:val="18"/>
    </w:rPr>
  </w:style>
  <w:style w:type="paragraph" w:styleId="a4">
    <w:name w:val="footer"/>
    <w:basedOn w:val="a"/>
    <w:link w:val="Char0"/>
    <w:uiPriority w:val="99"/>
    <w:semiHidden/>
    <w:unhideWhenUsed/>
    <w:rsid w:val="00EF16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659"/>
    <w:rPr>
      <w:sz w:val="18"/>
      <w:szCs w:val="18"/>
    </w:rPr>
  </w:style>
  <w:style w:type="paragraph" w:styleId="a5">
    <w:name w:val="Normal (Web)"/>
    <w:basedOn w:val="a"/>
    <w:uiPriority w:val="99"/>
    <w:semiHidden/>
    <w:unhideWhenUsed/>
    <w:rsid w:val="00EF16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9495249">
      <w:bodyDiv w:val="1"/>
      <w:marLeft w:val="0"/>
      <w:marRight w:val="0"/>
      <w:marTop w:val="0"/>
      <w:marBottom w:val="0"/>
      <w:divBdr>
        <w:top w:val="none" w:sz="0" w:space="0" w:color="auto"/>
        <w:left w:val="none" w:sz="0" w:space="0" w:color="auto"/>
        <w:bottom w:val="none" w:sz="0" w:space="0" w:color="auto"/>
        <w:right w:val="none" w:sz="0" w:space="0" w:color="auto"/>
      </w:divBdr>
      <w:divsChild>
        <w:div w:id="469202962">
          <w:marLeft w:val="0"/>
          <w:marRight w:val="0"/>
          <w:marTop w:val="150"/>
          <w:marBottom w:val="150"/>
          <w:divBdr>
            <w:top w:val="none" w:sz="0" w:space="0" w:color="auto"/>
            <w:left w:val="none" w:sz="0" w:space="0" w:color="auto"/>
            <w:bottom w:val="none" w:sz="0" w:space="0" w:color="auto"/>
            <w:right w:val="none" w:sz="0" w:space="0" w:color="auto"/>
          </w:divBdr>
          <w:divsChild>
            <w:div w:id="4317516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944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2</cp:revision>
  <dcterms:created xsi:type="dcterms:W3CDTF">2018-06-12T06:19:00Z</dcterms:created>
  <dcterms:modified xsi:type="dcterms:W3CDTF">2018-06-12T06:22:00Z</dcterms:modified>
</cp:coreProperties>
</file>