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6C" w:rsidRDefault="00F8626C">
      <w:pPr>
        <w:widowControl/>
        <w:autoSpaceDE w:val="0"/>
        <w:autoSpaceDN w:val="0"/>
        <w:spacing w:line="360" w:lineRule="auto"/>
        <w:jc w:val="center"/>
        <w:textAlignment w:val="bottom"/>
        <w:rPr>
          <w:rFonts w:ascii="宋体" w:hAnsi="宋体"/>
          <w:b/>
          <w:sz w:val="44"/>
        </w:rPr>
      </w:pPr>
    </w:p>
    <w:p w:rsidR="00F8626C" w:rsidRDefault="00F8626C">
      <w:pPr>
        <w:widowControl/>
        <w:autoSpaceDE w:val="0"/>
        <w:autoSpaceDN w:val="0"/>
        <w:spacing w:line="360" w:lineRule="auto"/>
        <w:jc w:val="center"/>
        <w:textAlignment w:val="bottom"/>
        <w:rPr>
          <w:rFonts w:ascii="宋体" w:hAnsi="宋体"/>
          <w:b/>
          <w:sz w:val="44"/>
        </w:rPr>
      </w:pPr>
    </w:p>
    <w:p w:rsidR="00F8626C" w:rsidRDefault="00F8626C">
      <w:pPr>
        <w:widowControl/>
        <w:autoSpaceDE w:val="0"/>
        <w:autoSpaceDN w:val="0"/>
        <w:spacing w:line="360" w:lineRule="auto"/>
        <w:jc w:val="center"/>
        <w:textAlignment w:val="bottom"/>
        <w:rPr>
          <w:rFonts w:ascii="宋体" w:hAnsi="宋体"/>
          <w:b/>
          <w:sz w:val="44"/>
        </w:rPr>
      </w:pPr>
    </w:p>
    <w:p w:rsidR="00F8626C" w:rsidRDefault="00F8626C">
      <w:pPr>
        <w:widowControl/>
        <w:autoSpaceDE w:val="0"/>
        <w:autoSpaceDN w:val="0"/>
        <w:spacing w:line="360" w:lineRule="auto"/>
        <w:jc w:val="center"/>
        <w:textAlignment w:val="bottom"/>
        <w:rPr>
          <w:rFonts w:ascii="宋体" w:hAnsi="宋体"/>
          <w:b/>
          <w:sz w:val="44"/>
        </w:rPr>
      </w:pPr>
    </w:p>
    <w:p w:rsidR="00F8626C" w:rsidRDefault="00C0614F">
      <w:pPr>
        <w:spacing w:line="360" w:lineRule="auto"/>
        <w:jc w:val="center"/>
        <w:rPr>
          <w:sz w:val="52"/>
        </w:rPr>
      </w:pPr>
      <w:bookmarkStart w:id="0" w:name="_Toc61983332"/>
      <w:bookmarkStart w:id="1" w:name="_Toc10554386"/>
      <w:bookmarkStart w:id="2" w:name="_Toc10604959"/>
      <w:bookmarkStart w:id="3" w:name="_Toc15987771"/>
      <w:r>
        <w:rPr>
          <w:rFonts w:hint="eastAsia"/>
          <w:sz w:val="52"/>
        </w:rPr>
        <w:t>南方现金增利基金托管协议</w:t>
      </w:r>
      <w:bookmarkEnd w:id="0"/>
      <w:bookmarkEnd w:id="1"/>
      <w:bookmarkEnd w:id="2"/>
      <w:bookmarkEnd w:id="3"/>
    </w:p>
    <w:p w:rsidR="00F8626C" w:rsidRDefault="00F8626C">
      <w:pPr>
        <w:widowControl/>
        <w:autoSpaceDE w:val="0"/>
        <w:autoSpaceDN w:val="0"/>
        <w:spacing w:line="360" w:lineRule="auto"/>
        <w:ind w:hanging="360"/>
        <w:jc w:val="center"/>
        <w:textAlignment w:val="bottom"/>
        <w:rPr>
          <w:rFonts w:ascii="宋体" w:hAnsi="宋体"/>
          <w:sz w:val="44"/>
        </w:rPr>
      </w:pPr>
    </w:p>
    <w:p w:rsidR="00F8626C" w:rsidRDefault="00F8626C">
      <w:pPr>
        <w:widowControl/>
        <w:autoSpaceDE w:val="0"/>
        <w:autoSpaceDN w:val="0"/>
        <w:spacing w:line="360" w:lineRule="auto"/>
        <w:ind w:hanging="360"/>
        <w:jc w:val="center"/>
        <w:textAlignment w:val="bottom"/>
        <w:rPr>
          <w:rFonts w:ascii="宋体" w:hAnsi="宋体"/>
          <w:sz w:val="44"/>
        </w:rPr>
      </w:pPr>
    </w:p>
    <w:p w:rsidR="00F8626C" w:rsidRDefault="00F8626C">
      <w:pPr>
        <w:widowControl/>
        <w:autoSpaceDE w:val="0"/>
        <w:autoSpaceDN w:val="0"/>
        <w:spacing w:line="360" w:lineRule="auto"/>
        <w:ind w:hanging="360"/>
        <w:jc w:val="center"/>
        <w:textAlignment w:val="bottom"/>
        <w:rPr>
          <w:rFonts w:ascii="宋体" w:hAnsi="宋体"/>
          <w:sz w:val="44"/>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F8626C">
      <w:pPr>
        <w:widowControl/>
        <w:autoSpaceDE w:val="0"/>
        <w:autoSpaceDN w:val="0"/>
        <w:spacing w:line="360" w:lineRule="auto"/>
        <w:ind w:firstLine="624"/>
        <w:jc w:val="center"/>
        <w:textAlignment w:val="bottom"/>
        <w:rPr>
          <w:rFonts w:ascii="宋体" w:hAnsi="宋体"/>
          <w:b/>
          <w:sz w:val="28"/>
        </w:rPr>
      </w:pPr>
    </w:p>
    <w:p w:rsidR="00F8626C" w:rsidRDefault="00C0614F">
      <w:pPr>
        <w:spacing w:line="360" w:lineRule="auto"/>
        <w:jc w:val="center"/>
        <w:outlineLvl w:val="0"/>
        <w:rPr>
          <w:rFonts w:ascii="宋体" w:hAnsi="宋体"/>
          <w:b/>
          <w:sz w:val="32"/>
        </w:rPr>
      </w:pPr>
      <w:r>
        <w:rPr>
          <w:rFonts w:ascii="宋体" w:hAnsi="宋体" w:hint="eastAsia"/>
          <w:b/>
          <w:sz w:val="32"/>
        </w:rPr>
        <w:t>基金管理人：南方基金管理有限公司</w:t>
      </w:r>
    </w:p>
    <w:p w:rsidR="00F8626C" w:rsidRDefault="00C0614F">
      <w:pPr>
        <w:spacing w:line="360" w:lineRule="auto"/>
        <w:jc w:val="center"/>
        <w:outlineLvl w:val="0"/>
        <w:rPr>
          <w:rFonts w:ascii="宋体" w:hAnsi="宋体"/>
          <w:b/>
          <w:sz w:val="32"/>
        </w:rPr>
      </w:pPr>
      <w:r>
        <w:rPr>
          <w:rFonts w:ascii="宋体" w:hAnsi="宋体" w:hint="eastAsia"/>
          <w:b/>
          <w:sz w:val="32"/>
        </w:rPr>
        <w:t>基金托管人：</w:t>
      </w:r>
      <w:bookmarkStart w:id="4" w:name="_GoBack"/>
      <w:bookmarkEnd w:id="4"/>
      <w:r>
        <w:rPr>
          <w:rFonts w:ascii="宋体" w:hAnsi="宋体" w:hint="eastAsia"/>
          <w:b/>
          <w:sz w:val="32"/>
        </w:rPr>
        <w:t>中国工商银行</w:t>
      </w:r>
    </w:p>
    <w:p w:rsidR="00F8626C" w:rsidRDefault="00C0614F">
      <w:pPr>
        <w:spacing w:line="360" w:lineRule="auto"/>
        <w:jc w:val="center"/>
        <w:outlineLvl w:val="0"/>
        <w:rPr>
          <w:rFonts w:ascii="宋体" w:hAnsi="宋体"/>
          <w:b/>
          <w:spacing w:val="18"/>
          <w:sz w:val="32"/>
        </w:rPr>
      </w:pPr>
      <w:r>
        <w:rPr>
          <w:rFonts w:ascii="宋体" w:hAnsi="宋体" w:hint="eastAsia"/>
          <w:b/>
          <w:sz w:val="32"/>
        </w:rPr>
        <w:t>2017年12月修订</w:t>
      </w:r>
    </w:p>
    <w:p w:rsidR="00F8626C" w:rsidRDefault="00F8626C">
      <w:pPr>
        <w:spacing w:line="360" w:lineRule="auto"/>
      </w:pPr>
    </w:p>
    <w:p w:rsidR="00F8626C" w:rsidRDefault="00F8626C">
      <w:pPr>
        <w:spacing w:line="360" w:lineRule="auto"/>
      </w:pPr>
    </w:p>
    <w:p w:rsidR="00F8626C" w:rsidRDefault="00F8626C">
      <w:pPr>
        <w:spacing w:line="360" w:lineRule="auto"/>
      </w:pPr>
    </w:p>
    <w:p w:rsidR="00F8626C" w:rsidRDefault="00F8626C">
      <w:pPr>
        <w:spacing w:line="360" w:lineRule="auto"/>
      </w:pPr>
    </w:p>
    <w:p w:rsidR="00F8626C" w:rsidRDefault="00F8626C">
      <w:pPr>
        <w:spacing w:line="360" w:lineRule="auto"/>
      </w:pPr>
    </w:p>
    <w:p w:rsidR="00F8626C" w:rsidRDefault="00C0614F">
      <w:pPr>
        <w:spacing w:line="360" w:lineRule="auto"/>
        <w:jc w:val="center"/>
        <w:rPr>
          <w:sz w:val="36"/>
        </w:rPr>
      </w:pPr>
      <w:r>
        <w:rPr>
          <w:rFonts w:hint="eastAsia"/>
          <w:sz w:val="36"/>
        </w:rPr>
        <w:t>目录</w:t>
      </w:r>
    </w:p>
    <w:p w:rsidR="00F8626C" w:rsidRDefault="00F8626C">
      <w:pPr>
        <w:spacing w:line="360" w:lineRule="auto"/>
        <w:jc w:val="center"/>
        <w:rPr>
          <w:sz w:val="36"/>
        </w:rPr>
      </w:pPr>
    </w:p>
    <w:p w:rsidR="00F8626C" w:rsidRDefault="00F8626C">
      <w:pPr>
        <w:spacing w:line="360" w:lineRule="auto"/>
      </w:pPr>
    </w:p>
    <w:p w:rsidR="00F8626C" w:rsidRDefault="004450B3">
      <w:pPr>
        <w:pStyle w:val="21"/>
        <w:tabs>
          <w:tab w:val="left" w:pos="1260"/>
          <w:tab w:val="right" w:leader="dot" w:pos="8495"/>
        </w:tabs>
        <w:spacing w:line="360" w:lineRule="auto"/>
      </w:pPr>
      <w:r w:rsidRPr="004450B3">
        <w:fldChar w:fldCharType="begin"/>
      </w:r>
      <w:r w:rsidR="00C0614F">
        <w:instrText xml:space="preserve"> TOC \o "1-3" \h \z </w:instrText>
      </w:r>
      <w:r w:rsidRPr="004450B3">
        <w:fldChar w:fldCharType="separate"/>
      </w:r>
      <w:hyperlink w:anchor="_Toc64174258" w:history="1">
        <w:r w:rsidR="00C0614F">
          <w:rPr>
            <w:rStyle w:val="ab"/>
            <w:rFonts w:hint="eastAsia"/>
          </w:rPr>
          <w:t>一、</w:t>
        </w:r>
        <w:r w:rsidR="00C0614F">
          <w:tab/>
        </w:r>
        <w:r w:rsidR="00C0614F">
          <w:rPr>
            <w:rStyle w:val="ab"/>
            <w:rFonts w:hint="eastAsia"/>
          </w:rPr>
          <w:t>托管协议当事人</w:t>
        </w:r>
        <w:r w:rsidR="00C0614F">
          <w:tab/>
        </w:r>
        <w:r>
          <w:fldChar w:fldCharType="begin"/>
        </w:r>
        <w:r w:rsidR="00C0614F">
          <w:instrText xml:space="preserve"> PAGEREF _Toc64174258 \h </w:instrText>
        </w:r>
        <w:r>
          <w:fldChar w:fldCharType="separate"/>
        </w:r>
        <w:r w:rsidR="00C0614F">
          <w:t>3</w:t>
        </w:r>
        <w:r>
          <w:fldChar w:fldCharType="end"/>
        </w:r>
      </w:hyperlink>
    </w:p>
    <w:p w:rsidR="00F8626C" w:rsidRDefault="004450B3">
      <w:pPr>
        <w:pStyle w:val="21"/>
        <w:tabs>
          <w:tab w:val="left" w:pos="1260"/>
          <w:tab w:val="right" w:leader="dot" w:pos="8495"/>
        </w:tabs>
        <w:spacing w:line="360" w:lineRule="auto"/>
      </w:pPr>
      <w:hyperlink w:anchor="_Toc64174259" w:history="1">
        <w:r w:rsidR="00C0614F">
          <w:rPr>
            <w:rStyle w:val="ab"/>
            <w:rFonts w:hint="eastAsia"/>
          </w:rPr>
          <w:t>二、</w:t>
        </w:r>
        <w:r w:rsidR="00C0614F">
          <w:tab/>
        </w:r>
        <w:r w:rsidR="00C0614F">
          <w:rPr>
            <w:rStyle w:val="ab"/>
            <w:rFonts w:hint="eastAsia"/>
          </w:rPr>
          <w:t>托管协议的依据、目的和原则</w:t>
        </w:r>
        <w:r w:rsidR="00C0614F">
          <w:tab/>
        </w:r>
        <w:r>
          <w:fldChar w:fldCharType="begin"/>
        </w:r>
        <w:r w:rsidR="00C0614F">
          <w:instrText xml:space="preserve"> PAGEREF _Toc64174259 \h </w:instrText>
        </w:r>
        <w:r>
          <w:fldChar w:fldCharType="separate"/>
        </w:r>
        <w:r w:rsidR="00C0614F">
          <w:t>3</w:t>
        </w:r>
        <w:r>
          <w:fldChar w:fldCharType="end"/>
        </w:r>
      </w:hyperlink>
    </w:p>
    <w:p w:rsidR="00F8626C" w:rsidRDefault="004450B3">
      <w:pPr>
        <w:pStyle w:val="21"/>
        <w:tabs>
          <w:tab w:val="left" w:pos="1260"/>
          <w:tab w:val="right" w:leader="dot" w:pos="8495"/>
        </w:tabs>
        <w:spacing w:line="360" w:lineRule="auto"/>
      </w:pPr>
      <w:hyperlink w:anchor="_Toc64174260" w:history="1">
        <w:r w:rsidR="00C0614F">
          <w:rPr>
            <w:rStyle w:val="ab"/>
            <w:rFonts w:hint="eastAsia"/>
          </w:rPr>
          <w:t>三、</w:t>
        </w:r>
        <w:r w:rsidR="00C0614F">
          <w:tab/>
        </w:r>
        <w:r w:rsidR="00C0614F">
          <w:rPr>
            <w:rStyle w:val="ab"/>
            <w:rFonts w:hint="eastAsia"/>
          </w:rPr>
          <w:t>基金托管人与基金管理人之间的业务监督、核查</w:t>
        </w:r>
        <w:r w:rsidR="00C0614F">
          <w:tab/>
        </w:r>
        <w:r>
          <w:fldChar w:fldCharType="begin"/>
        </w:r>
        <w:r w:rsidR="00C0614F">
          <w:instrText xml:space="preserve"> PAGEREF _Toc64174260 \h </w:instrText>
        </w:r>
        <w:r>
          <w:fldChar w:fldCharType="separate"/>
        </w:r>
        <w:r w:rsidR="00C0614F">
          <w:t>4</w:t>
        </w:r>
        <w:r>
          <w:fldChar w:fldCharType="end"/>
        </w:r>
      </w:hyperlink>
    </w:p>
    <w:p w:rsidR="00F8626C" w:rsidRDefault="004450B3">
      <w:pPr>
        <w:pStyle w:val="21"/>
        <w:tabs>
          <w:tab w:val="left" w:pos="1260"/>
          <w:tab w:val="right" w:leader="dot" w:pos="8495"/>
        </w:tabs>
        <w:spacing w:line="360" w:lineRule="auto"/>
      </w:pPr>
      <w:hyperlink w:anchor="_Toc64174261" w:history="1">
        <w:r w:rsidR="00C0614F">
          <w:rPr>
            <w:rStyle w:val="ab"/>
            <w:rFonts w:hint="eastAsia"/>
          </w:rPr>
          <w:t>四、</w:t>
        </w:r>
        <w:r w:rsidR="00C0614F">
          <w:tab/>
        </w:r>
        <w:r w:rsidR="00C0614F">
          <w:rPr>
            <w:rStyle w:val="ab"/>
            <w:rFonts w:hint="eastAsia"/>
          </w:rPr>
          <w:t>基金资产保管</w:t>
        </w:r>
        <w:r w:rsidR="00C0614F">
          <w:tab/>
        </w:r>
        <w:r>
          <w:fldChar w:fldCharType="begin"/>
        </w:r>
        <w:r w:rsidR="00C0614F">
          <w:instrText xml:space="preserve"> PAGEREF _Toc64174261 \h </w:instrText>
        </w:r>
        <w:r>
          <w:fldChar w:fldCharType="separate"/>
        </w:r>
        <w:r w:rsidR="00C0614F">
          <w:t>4</w:t>
        </w:r>
        <w:r>
          <w:fldChar w:fldCharType="end"/>
        </w:r>
      </w:hyperlink>
    </w:p>
    <w:p w:rsidR="00F8626C" w:rsidRDefault="004450B3">
      <w:pPr>
        <w:pStyle w:val="21"/>
        <w:tabs>
          <w:tab w:val="left" w:pos="1260"/>
          <w:tab w:val="right" w:leader="dot" w:pos="8495"/>
        </w:tabs>
        <w:spacing w:line="360" w:lineRule="auto"/>
      </w:pPr>
      <w:hyperlink w:anchor="_Toc64174262" w:history="1">
        <w:r w:rsidR="00C0614F">
          <w:rPr>
            <w:rStyle w:val="ab"/>
            <w:rFonts w:hint="eastAsia"/>
          </w:rPr>
          <w:t>五、</w:t>
        </w:r>
        <w:r w:rsidR="00C0614F">
          <w:tab/>
        </w:r>
        <w:r w:rsidR="00C0614F">
          <w:rPr>
            <w:rStyle w:val="ab"/>
            <w:rFonts w:hint="eastAsia"/>
          </w:rPr>
          <w:t>划款指令的发送、确认及执行</w:t>
        </w:r>
        <w:r w:rsidR="00C0614F">
          <w:tab/>
        </w:r>
        <w:r>
          <w:fldChar w:fldCharType="begin"/>
        </w:r>
        <w:r w:rsidR="00C0614F">
          <w:instrText xml:space="preserve"> PAGEREF _Toc64174262 \h </w:instrText>
        </w:r>
        <w:r>
          <w:fldChar w:fldCharType="separate"/>
        </w:r>
        <w:r w:rsidR="00C0614F">
          <w:t>6</w:t>
        </w:r>
        <w:r>
          <w:fldChar w:fldCharType="end"/>
        </w:r>
      </w:hyperlink>
    </w:p>
    <w:p w:rsidR="00F8626C" w:rsidRDefault="004450B3">
      <w:pPr>
        <w:pStyle w:val="21"/>
        <w:tabs>
          <w:tab w:val="left" w:pos="1260"/>
          <w:tab w:val="right" w:leader="dot" w:pos="8495"/>
        </w:tabs>
        <w:spacing w:line="360" w:lineRule="auto"/>
      </w:pPr>
      <w:hyperlink w:anchor="_Toc64174263" w:history="1">
        <w:r w:rsidR="00C0614F">
          <w:rPr>
            <w:rStyle w:val="ab"/>
            <w:rFonts w:hint="eastAsia"/>
          </w:rPr>
          <w:t>六、</w:t>
        </w:r>
        <w:r w:rsidR="00C0614F">
          <w:tab/>
        </w:r>
        <w:r w:rsidR="00C0614F">
          <w:rPr>
            <w:rStyle w:val="ab"/>
            <w:rFonts w:hint="eastAsia"/>
          </w:rPr>
          <w:t>交易安排</w:t>
        </w:r>
        <w:r w:rsidR="00C0614F">
          <w:tab/>
        </w:r>
        <w:r>
          <w:fldChar w:fldCharType="begin"/>
        </w:r>
        <w:r w:rsidR="00C0614F">
          <w:instrText xml:space="preserve"> PAGEREF _Toc64174263 \h </w:instrText>
        </w:r>
        <w:r>
          <w:fldChar w:fldCharType="separate"/>
        </w:r>
        <w:r w:rsidR="00C0614F">
          <w:t>7</w:t>
        </w:r>
        <w:r>
          <w:fldChar w:fldCharType="end"/>
        </w:r>
      </w:hyperlink>
    </w:p>
    <w:p w:rsidR="00F8626C" w:rsidRDefault="004450B3">
      <w:pPr>
        <w:pStyle w:val="21"/>
        <w:tabs>
          <w:tab w:val="left" w:pos="1260"/>
          <w:tab w:val="right" w:leader="dot" w:pos="8495"/>
        </w:tabs>
        <w:spacing w:line="360" w:lineRule="auto"/>
      </w:pPr>
      <w:hyperlink w:anchor="_Toc64174264" w:history="1">
        <w:r w:rsidR="00C0614F">
          <w:rPr>
            <w:rStyle w:val="ab"/>
            <w:rFonts w:hint="eastAsia"/>
          </w:rPr>
          <w:t>七、</w:t>
        </w:r>
        <w:r w:rsidR="00C0614F">
          <w:tab/>
        </w:r>
        <w:r w:rsidR="00C0614F">
          <w:rPr>
            <w:rStyle w:val="ab"/>
            <w:rFonts w:hint="eastAsia"/>
          </w:rPr>
          <w:t>资产净值计算和会计核算</w:t>
        </w:r>
        <w:r w:rsidR="00C0614F">
          <w:tab/>
        </w:r>
        <w:r>
          <w:fldChar w:fldCharType="begin"/>
        </w:r>
        <w:r w:rsidR="00C0614F">
          <w:instrText xml:space="preserve"> PAGEREF _Toc64174264 \h </w:instrText>
        </w:r>
        <w:r>
          <w:fldChar w:fldCharType="separate"/>
        </w:r>
        <w:r w:rsidR="00C0614F">
          <w:t>8</w:t>
        </w:r>
        <w:r>
          <w:fldChar w:fldCharType="end"/>
        </w:r>
      </w:hyperlink>
    </w:p>
    <w:p w:rsidR="00F8626C" w:rsidRDefault="004450B3">
      <w:pPr>
        <w:pStyle w:val="21"/>
        <w:tabs>
          <w:tab w:val="left" w:pos="1260"/>
          <w:tab w:val="right" w:leader="dot" w:pos="8495"/>
        </w:tabs>
        <w:spacing w:line="360" w:lineRule="auto"/>
      </w:pPr>
      <w:hyperlink w:anchor="_Toc64174265" w:history="1">
        <w:r w:rsidR="00C0614F">
          <w:rPr>
            <w:rStyle w:val="ab"/>
            <w:rFonts w:hint="eastAsia"/>
          </w:rPr>
          <w:t>八、</w:t>
        </w:r>
        <w:r w:rsidR="00C0614F">
          <w:tab/>
        </w:r>
        <w:r w:rsidR="00C0614F">
          <w:rPr>
            <w:rStyle w:val="ab"/>
            <w:rFonts w:hint="eastAsia"/>
          </w:rPr>
          <w:t>基金收益分配</w:t>
        </w:r>
        <w:r w:rsidR="00C0614F">
          <w:tab/>
        </w:r>
        <w:r>
          <w:fldChar w:fldCharType="begin"/>
        </w:r>
        <w:r w:rsidR="00C0614F">
          <w:instrText xml:space="preserve"> PAGEREF _Toc64174265 \h </w:instrText>
        </w:r>
        <w:r>
          <w:fldChar w:fldCharType="separate"/>
        </w:r>
        <w:r w:rsidR="00C0614F">
          <w:t>12</w:t>
        </w:r>
        <w:r>
          <w:fldChar w:fldCharType="end"/>
        </w:r>
      </w:hyperlink>
    </w:p>
    <w:p w:rsidR="00F8626C" w:rsidRDefault="004450B3">
      <w:pPr>
        <w:pStyle w:val="21"/>
        <w:tabs>
          <w:tab w:val="left" w:pos="1260"/>
          <w:tab w:val="right" w:leader="dot" w:pos="8495"/>
        </w:tabs>
        <w:spacing w:line="360" w:lineRule="auto"/>
      </w:pPr>
      <w:hyperlink w:anchor="_Toc64174266" w:history="1">
        <w:r w:rsidR="00C0614F">
          <w:rPr>
            <w:rStyle w:val="ab"/>
            <w:rFonts w:hint="eastAsia"/>
          </w:rPr>
          <w:t>九、</w:t>
        </w:r>
        <w:r w:rsidR="00C0614F">
          <w:tab/>
        </w:r>
        <w:r w:rsidR="00C0614F">
          <w:rPr>
            <w:rStyle w:val="ab"/>
            <w:rFonts w:hint="eastAsia"/>
          </w:rPr>
          <w:t>信息披露</w:t>
        </w:r>
        <w:r w:rsidR="00C0614F">
          <w:tab/>
        </w:r>
        <w:r>
          <w:fldChar w:fldCharType="begin"/>
        </w:r>
        <w:r w:rsidR="00C0614F">
          <w:instrText xml:space="preserve"> PAGEREF _Toc64174266 \h </w:instrText>
        </w:r>
        <w:r>
          <w:fldChar w:fldCharType="separate"/>
        </w:r>
        <w:r w:rsidR="00C0614F">
          <w:t>13</w:t>
        </w:r>
        <w:r>
          <w:fldChar w:fldCharType="end"/>
        </w:r>
      </w:hyperlink>
    </w:p>
    <w:p w:rsidR="00F8626C" w:rsidRDefault="004450B3">
      <w:pPr>
        <w:pStyle w:val="21"/>
        <w:tabs>
          <w:tab w:val="left" w:pos="1260"/>
          <w:tab w:val="right" w:leader="dot" w:pos="8495"/>
        </w:tabs>
        <w:spacing w:line="360" w:lineRule="auto"/>
      </w:pPr>
      <w:hyperlink w:anchor="_Toc64174267" w:history="1">
        <w:r w:rsidR="00C0614F">
          <w:rPr>
            <w:rStyle w:val="ab"/>
            <w:rFonts w:hint="eastAsia"/>
          </w:rPr>
          <w:t>十、</w:t>
        </w:r>
        <w:r w:rsidR="00C0614F">
          <w:tab/>
        </w:r>
        <w:r w:rsidR="00C0614F">
          <w:rPr>
            <w:rStyle w:val="ab"/>
            <w:rFonts w:hint="eastAsia"/>
          </w:rPr>
          <w:t>基金有关文件档案的保存</w:t>
        </w:r>
        <w:r w:rsidR="00C0614F">
          <w:tab/>
        </w:r>
        <w:r>
          <w:fldChar w:fldCharType="begin"/>
        </w:r>
        <w:r w:rsidR="00C0614F">
          <w:instrText xml:space="preserve"> PAGEREF _Toc64174267 \h </w:instrText>
        </w:r>
        <w:r>
          <w:fldChar w:fldCharType="separate"/>
        </w:r>
        <w:r w:rsidR="00C0614F">
          <w:t>14</w:t>
        </w:r>
        <w:r>
          <w:fldChar w:fldCharType="end"/>
        </w:r>
      </w:hyperlink>
    </w:p>
    <w:p w:rsidR="00F8626C" w:rsidRDefault="004450B3">
      <w:pPr>
        <w:pStyle w:val="21"/>
        <w:tabs>
          <w:tab w:val="left" w:pos="1680"/>
          <w:tab w:val="right" w:leader="dot" w:pos="8495"/>
        </w:tabs>
        <w:spacing w:line="360" w:lineRule="auto"/>
      </w:pPr>
      <w:hyperlink w:anchor="_Toc64174268" w:history="1">
        <w:r w:rsidR="00C0614F">
          <w:rPr>
            <w:rStyle w:val="ab"/>
            <w:rFonts w:hint="eastAsia"/>
          </w:rPr>
          <w:t>十一、</w:t>
        </w:r>
        <w:r w:rsidR="00C0614F">
          <w:tab/>
        </w:r>
        <w:r w:rsidR="00C0614F">
          <w:rPr>
            <w:rStyle w:val="ab"/>
            <w:rFonts w:hint="eastAsia"/>
          </w:rPr>
          <w:t>基金托管人报告</w:t>
        </w:r>
        <w:r w:rsidR="00C0614F">
          <w:tab/>
        </w:r>
        <w:r>
          <w:fldChar w:fldCharType="begin"/>
        </w:r>
        <w:r w:rsidR="00C0614F">
          <w:instrText xml:space="preserve"> PAGEREF _Toc64174268 \h </w:instrText>
        </w:r>
        <w:r>
          <w:fldChar w:fldCharType="separate"/>
        </w:r>
        <w:r w:rsidR="00C0614F">
          <w:t>14</w:t>
        </w:r>
        <w:r>
          <w:fldChar w:fldCharType="end"/>
        </w:r>
      </w:hyperlink>
    </w:p>
    <w:p w:rsidR="00F8626C" w:rsidRDefault="004450B3">
      <w:pPr>
        <w:pStyle w:val="21"/>
        <w:tabs>
          <w:tab w:val="left" w:pos="1680"/>
          <w:tab w:val="right" w:leader="dot" w:pos="8495"/>
        </w:tabs>
        <w:spacing w:line="360" w:lineRule="auto"/>
      </w:pPr>
      <w:hyperlink w:anchor="_Toc64174269" w:history="1">
        <w:r w:rsidR="00C0614F">
          <w:rPr>
            <w:rStyle w:val="ab"/>
            <w:rFonts w:hint="eastAsia"/>
          </w:rPr>
          <w:t>十二、</w:t>
        </w:r>
        <w:r w:rsidR="00C0614F">
          <w:tab/>
        </w:r>
        <w:r w:rsidR="00C0614F">
          <w:rPr>
            <w:rStyle w:val="ab"/>
            <w:rFonts w:hint="eastAsia"/>
          </w:rPr>
          <w:t>基金托管人和基金管理人的更换</w:t>
        </w:r>
        <w:r w:rsidR="00C0614F">
          <w:tab/>
        </w:r>
        <w:r>
          <w:fldChar w:fldCharType="begin"/>
        </w:r>
        <w:r w:rsidR="00C0614F">
          <w:instrText xml:space="preserve"> PAGEREF _Toc64174269 \h </w:instrText>
        </w:r>
        <w:r>
          <w:fldChar w:fldCharType="separate"/>
        </w:r>
        <w:r w:rsidR="00C0614F">
          <w:t>14</w:t>
        </w:r>
        <w:r>
          <w:fldChar w:fldCharType="end"/>
        </w:r>
      </w:hyperlink>
    </w:p>
    <w:p w:rsidR="00F8626C" w:rsidRDefault="004450B3">
      <w:pPr>
        <w:pStyle w:val="21"/>
        <w:tabs>
          <w:tab w:val="left" w:pos="1680"/>
          <w:tab w:val="right" w:leader="dot" w:pos="8495"/>
        </w:tabs>
        <w:spacing w:line="360" w:lineRule="auto"/>
      </w:pPr>
      <w:hyperlink w:anchor="_Toc64174270" w:history="1">
        <w:r w:rsidR="00C0614F">
          <w:rPr>
            <w:rStyle w:val="ab"/>
            <w:rFonts w:hint="eastAsia"/>
          </w:rPr>
          <w:t>十三、</w:t>
        </w:r>
        <w:r w:rsidR="00C0614F">
          <w:tab/>
        </w:r>
        <w:r w:rsidR="00C0614F">
          <w:rPr>
            <w:rStyle w:val="ab"/>
            <w:rFonts w:hint="eastAsia"/>
          </w:rPr>
          <w:t>基金的管理费、托管费和持续销售费</w:t>
        </w:r>
        <w:r w:rsidR="00C0614F">
          <w:tab/>
        </w:r>
        <w:r>
          <w:fldChar w:fldCharType="begin"/>
        </w:r>
        <w:r w:rsidR="00C0614F">
          <w:instrText xml:space="preserve"> PAGEREF _Toc64174270 \h </w:instrText>
        </w:r>
        <w:r>
          <w:fldChar w:fldCharType="separate"/>
        </w:r>
        <w:r w:rsidR="00C0614F">
          <w:t>15</w:t>
        </w:r>
        <w:r>
          <w:fldChar w:fldCharType="end"/>
        </w:r>
      </w:hyperlink>
    </w:p>
    <w:p w:rsidR="00F8626C" w:rsidRDefault="004450B3">
      <w:pPr>
        <w:pStyle w:val="21"/>
        <w:tabs>
          <w:tab w:val="left" w:pos="1680"/>
          <w:tab w:val="right" w:leader="dot" w:pos="8495"/>
        </w:tabs>
        <w:spacing w:line="360" w:lineRule="auto"/>
      </w:pPr>
      <w:hyperlink w:anchor="_Toc64174271" w:history="1">
        <w:r w:rsidR="00C0614F">
          <w:rPr>
            <w:rStyle w:val="ab"/>
            <w:rFonts w:hint="eastAsia"/>
          </w:rPr>
          <w:t>十四、</w:t>
        </w:r>
        <w:r w:rsidR="00C0614F">
          <w:tab/>
        </w:r>
        <w:r w:rsidR="00C0614F">
          <w:rPr>
            <w:rStyle w:val="ab"/>
            <w:rFonts w:hint="eastAsia"/>
          </w:rPr>
          <w:t>禁止行为</w:t>
        </w:r>
        <w:r w:rsidR="00C0614F">
          <w:tab/>
        </w:r>
        <w:r>
          <w:fldChar w:fldCharType="begin"/>
        </w:r>
        <w:r w:rsidR="00C0614F">
          <w:instrText xml:space="preserve"> PAGEREF _Toc64174271 \h </w:instrText>
        </w:r>
        <w:r>
          <w:fldChar w:fldCharType="separate"/>
        </w:r>
        <w:r w:rsidR="00C0614F">
          <w:t>16</w:t>
        </w:r>
        <w:r>
          <w:fldChar w:fldCharType="end"/>
        </w:r>
      </w:hyperlink>
    </w:p>
    <w:p w:rsidR="00F8626C" w:rsidRDefault="004450B3">
      <w:pPr>
        <w:pStyle w:val="21"/>
        <w:tabs>
          <w:tab w:val="left" w:pos="1680"/>
          <w:tab w:val="right" w:leader="dot" w:pos="8495"/>
        </w:tabs>
        <w:spacing w:line="360" w:lineRule="auto"/>
      </w:pPr>
      <w:hyperlink w:anchor="_Toc64174272" w:history="1">
        <w:r w:rsidR="00C0614F">
          <w:rPr>
            <w:rStyle w:val="ab"/>
            <w:rFonts w:hint="eastAsia"/>
          </w:rPr>
          <w:t>十五、</w:t>
        </w:r>
        <w:r w:rsidR="00C0614F">
          <w:tab/>
        </w:r>
        <w:r w:rsidR="00C0614F">
          <w:rPr>
            <w:rStyle w:val="ab"/>
            <w:rFonts w:hint="eastAsia"/>
          </w:rPr>
          <w:t>违约责任</w:t>
        </w:r>
        <w:r w:rsidR="00C0614F">
          <w:tab/>
        </w:r>
        <w:r>
          <w:fldChar w:fldCharType="begin"/>
        </w:r>
        <w:r w:rsidR="00C0614F">
          <w:instrText xml:space="preserve"> PAGEREF _Toc64174272 \h </w:instrText>
        </w:r>
        <w:r>
          <w:fldChar w:fldCharType="separate"/>
        </w:r>
        <w:r w:rsidR="00C0614F">
          <w:t>16</w:t>
        </w:r>
        <w:r>
          <w:fldChar w:fldCharType="end"/>
        </w:r>
      </w:hyperlink>
    </w:p>
    <w:p w:rsidR="00F8626C" w:rsidRDefault="004450B3">
      <w:pPr>
        <w:pStyle w:val="21"/>
        <w:tabs>
          <w:tab w:val="left" w:pos="1680"/>
          <w:tab w:val="right" w:leader="dot" w:pos="8495"/>
        </w:tabs>
        <w:spacing w:line="360" w:lineRule="auto"/>
      </w:pPr>
      <w:hyperlink w:anchor="_Toc64174273" w:history="1">
        <w:r w:rsidR="00C0614F">
          <w:rPr>
            <w:rStyle w:val="ab"/>
            <w:rFonts w:hint="eastAsia"/>
          </w:rPr>
          <w:t>十六、</w:t>
        </w:r>
        <w:r w:rsidR="00C0614F">
          <w:tab/>
        </w:r>
        <w:r w:rsidR="00C0614F">
          <w:rPr>
            <w:rStyle w:val="ab"/>
            <w:rFonts w:hint="eastAsia"/>
          </w:rPr>
          <w:t>争议的处理</w:t>
        </w:r>
        <w:r w:rsidR="00C0614F">
          <w:tab/>
        </w:r>
        <w:r>
          <w:fldChar w:fldCharType="begin"/>
        </w:r>
        <w:r w:rsidR="00C0614F">
          <w:instrText xml:space="preserve"> PAGEREF _Toc64174273 \h </w:instrText>
        </w:r>
        <w:r>
          <w:fldChar w:fldCharType="separate"/>
        </w:r>
        <w:r w:rsidR="00C0614F">
          <w:t>17</w:t>
        </w:r>
        <w:r>
          <w:fldChar w:fldCharType="end"/>
        </w:r>
      </w:hyperlink>
    </w:p>
    <w:p w:rsidR="00F8626C" w:rsidRDefault="004450B3">
      <w:pPr>
        <w:pStyle w:val="21"/>
        <w:tabs>
          <w:tab w:val="left" w:pos="1680"/>
          <w:tab w:val="right" w:leader="dot" w:pos="8495"/>
        </w:tabs>
        <w:spacing w:line="360" w:lineRule="auto"/>
      </w:pPr>
      <w:hyperlink w:anchor="_Toc64174274" w:history="1">
        <w:r w:rsidR="00C0614F">
          <w:rPr>
            <w:rStyle w:val="ab"/>
            <w:rFonts w:hint="eastAsia"/>
          </w:rPr>
          <w:t>十七、</w:t>
        </w:r>
        <w:r w:rsidR="00C0614F">
          <w:tab/>
        </w:r>
        <w:r w:rsidR="00C0614F">
          <w:rPr>
            <w:rStyle w:val="ab"/>
            <w:rFonts w:hint="eastAsia"/>
          </w:rPr>
          <w:t>托管协议的效力</w:t>
        </w:r>
        <w:r w:rsidR="00C0614F">
          <w:tab/>
        </w:r>
        <w:r>
          <w:fldChar w:fldCharType="begin"/>
        </w:r>
        <w:r w:rsidR="00C0614F">
          <w:instrText xml:space="preserve"> PAGEREF _Toc64174274 \h </w:instrText>
        </w:r>
        <w:r>
          <w:fldChar w:fldCharType="separate"/>
        </w:r>
        <w:r w:rsidR="00C0614F">
          <w:t>17</w:t>
        </w:r>
        <w:r>
          <w:fldChar w:fldCharType="end"/>
        </w:r>
      </w:hyperlink>
    </w:p>
    <w:p w:rsidR="00F8626C" w:rsidRDefault="004450B3">
      <w:pPr>
        <w:pStyle w:val="21"/>
        <w:tabs>
          <w:tab w:val="left" w:pos="1680"/>
          <w:tab w:val="right" w:leader="dot" w:pos="8495"/>
        </w:tabs>
        <w:spacing w:line="360" w:lineRule="auto"/>
      </w:pPr>
      <w:hyperlink w:anchor="_Toc64174275" w:history="1">
        <w:r w:rsidR="00C0614F">
          <w:rPr>
            <w:rStyle w:val="ab"/>
            <w:rFonts w:hint="eastAsia"/>
          </w:rPr>
          <w:t>十八、</w:t>
        </w:r>
        <w:r w:rsidR="00C0614F">
          <w:tab/>
        </w:r>
        <w:r w:rsidR="00C0614F">
          <w:rPr>
            <w:rStyle w:val="ab"/>
            <w:rFonts w:hint="eastAsia"/>
          </w:rPr>
          <w:t>托管协议的修改和终止</w:t>
        </w:r>
        <w:r w:rsidR="00C0614F">
          <w:tab/>
        </w:r>
        <w:r>
          <w:fldChar w:fldCharType="begin"/>
        </w:r>
        <w:r w:rsidR="00C0614F">
          <w:instrText xml:space="preserve"> PAGEREF _Toc64174275 \h </w:instrText>
        </w:r>
        <w:r>
          <w:fldChar w:fldCharType="separate"/>
        </w:r>
        <w:r w:rsidR="00C0614F">
          <w:t>17</w:t>
        </w:r>
        <w:r>
          <w:fldChar w:fldCharType="end"/>
        </w:r>
      </w:hyperlink>
    </w:p>
    <w:p w:rsidR="00F8626C" w:rsidRDefault="004450B3">
      <w:pPr>
        <w:pStyle w:val="21"/>
        <w:tabs>
          <w:tab w:val="left" w:pos="1680"/>
          <w:tab w:val="right" w:leader="dot" w:pos="8495"/>
        </w:tabs>
        <w:spacing w:line="360" w:lineRule="auto"/>
      </w:pPr>
      <w:hyperlink w:anchor="_Toc64174276" w:history="1">
        <w:r w:rsidR="00C0614F">
          <w:rPr>
            <w:rStyle w:val="ab"/>
            <w:rFonts w:hint="eastAsia"/>
          </w:rPr>
          <w:t>十九、</w:t>
        </w:r>
        <w:r w:rsidR="00C0614F">
          <w:tab/>
        </w:r>
        <w:r w:rsidR="00C0614F">
          <w:rPr>
            <w:rStyle w:val="ab"/>
            <w:rFonts w:hint="eastAsia"/>
          </w:rPr>
          <w:t>其他事项</w:t>
        </w:r>
        <w:r w:rsidR="00C0614F">
          <w:tab/>
        </w:r>
        <w:r>
          <w:fldChar w:fldCharType="begin"/>
        </w:r>
        <w:r w:rsidR="00C0614F">
          <w:instrText xml:space="preserve"> PAGEREF _Toc64174276 \h </w:instrText>
        </w:r>
        <w:r>
          <w:fldChar w:fldCharType="separate"/>
        </w:r>
        <w:r w:rsidR="00C0614F">
          <w:t>17</w:t>
        </w:r>
        <w:r>
          <w:fldChar w:fldCharType="end"/>
        </w:r>
      </w:hyperlink>
    </w:p>
    <w:p w:rsidR="00F8626C" w:rsidRDefault="004450B3">
      <w:pPr>
        <w:pStyle w:val="21"/>
        <w:tabs>
          <w:tab w:val="left" w:pos="1680"/>
          <w:tab w:val="right" w:leader="dot" w:pos="8495"/>
        </w:tabs>
        <w:spacing w:line="360" w:lineRule="auto"/>
      </w:pPr>
      <w:hyperlink w:anchor="_Toc64174277" w:history="1">
        <w:r w:rsidR="00C0614F">
          <w:rPr>
            <w:rStyle w:val="ab"/>
            <w:rFonts w:hint="eastAsia"/>
          </w:rPr>
          <w:t>二十、</w:t>
        </w:r>
        <w:r w:rsidR="00C0614F">
          <w:tab/>
        </w:r>
        <w:r w:rsidR="00C0614F">
          <w:rPr>
            <w:rStyle w:val="ab"/>
            <w:rFonts w:hint="eastAsia"/>
          </w:rPr>
          <w:t>托管协议当事人签字、签订地、签订日</w:t>
        </w:r>
        <w:r w:rsidR="00C0614F">
          <w:tab/>
        </w:r>
        <w:r>
          <w:fldChar w:fldCharType="begin"/>
        </w:r>
        <w:r w:rsidR="00C0614F">
          <w:instrText xml:space="preserve"> PAGEREF _Toc64174277 \h </w:instrText>
        </w:r>
        <w:r>
          <w:fldChar w:fldCharType="separate"/>
        </w:r>
        <w:r w:rsidR="00C0614F">
          <w:t>17</w:t>
        </w:r>
        <w:r>
          <w:fldChar w:fldCharType="end"/>
        </w:r>
      </w:hyperlink>
    </w:p>
    <w:p w:rsidR="00F8626C" w:rsidRDefault="004450B3">
      <w:pPr>
        <w:pStyle w:val="10"/>
        <w:spacing w:line="360" w:lineRule="auto"/>
      </w:pPr>
      <w:r>
        <w:fldChar w:fldCharType="end"/>
      </w:r>
    </w:p>
    <w:p w:rsidR="00F8626C" w:rsidRDefault="00F8626C">
      <w:pPr>
        <w:spacing w:line="360" w:lineRule="auto"/>
      </w:pPr>
    </w:p>
    <w:p w:rsidR="00F8626C" w:rsidRDefault="00F8626C">
      <w:pPr>
        <w:spacing w:line="360" w:lineRule="auto"/>
      </w:pPr>
    </w:p>
    <w:p w:rsidR="00F8626C" w:rsidRDefault="00F8626C">
      <w:pPr>
        <w:spacing w:line="360" w:lineRule="auto"/>
      </w:pPr>
    </w:p>
    <w:p w:rsidR="00F8626C" w:rsidRDefault="00F8626C">
      <w:pPr>
        <w:spacing w:line="360" w:lineRule="auto"/>
      </w:pPr>
    </w:p>
    <w:p w:rsidR="00F8626C" w:rsidRDefault="00C0614F">
      <w:pPr>
        <w:pStyle w:val="20"/>
        <w:numPr>
          <w:ilvl w:val="1"/>
          <w:numId w:val="1"/>
        </w:numPr>
        <w:spacing w:before="0" w:after="0" w:line="360" w:lineRule="auto"/>
      </w:pPr>
      <w:bookmarkStart w:id="5" w:name="_Toc64174177"/>
      <w:bookmarkStart w:id="6" w:name="_Toc61983333"/>
      <w:bookmarkStart w:id="7" w:name="_Toc64174258"/>
      <w:bookmarkStart w:id="8" w:name="_Toc9047755"/>
      <w:bookmarkStart w:id="9" w:name="_Toc9047412"/>
      <w:bookmarkStart w:id="10" w:name="_Toc15987772"/>
      <w:bookmarkStart w:id="11" w:name="_Toc55643132"/>
      <w:bookmarkStart w:id="12" w:name="_Toc10604960"/>
      <w:bookmarkStart w:id="13" w:name="_Toc9047556"/>
      <w:bookmarkStart w:id="14" w:name="_Toc414949332"/>
      <w:r>
        <w:rPr>
          <w:rFonts w:hint="eastAsia"/>
        </w:rPr>
        <w:lastRenderedPageBreak/>
        <w:t>托管协议当事人</w:t>
      </w:r>
      <w:bookmarkEnd w:id="5"/>
      <w:bookmarkEnd w:id="6"/>
      <w:bookmarkEnd w:id="7"/>
      <w:bookmarkEnd w:id="8"/>
      <w:bookmarkEnd w:id="9"/>
      <w:bookmarkEnd w:id="10"/>
      <w:bookmarkEnd w:id="11"/>
      <w:bookmarkEnd w:id="12"/>
      <w:bookmarkEnd w:id="13"/>
      <w:bookmarkEnd w:id="14"/>
    </w:p>
    <w:p w:rsidR="00F8626C" w:rsidRDefault="00C0614F">
      <w:pPr>
        <w:spacing w:line="360" w:lineRule="auto"/>
        <w:rPr>
          <w:rFonts w:ascii="宋体" w:hAnsi="宋体"/>
        </w:rPr>
      </w:pPr>
      <w:bookmarkStart w:id="15" w:name="_Toc414949333"/>
      <w:r>
        <w:rPr>
          <w:rFonts w:ascii="宋体" w:hAnsi="宋体" w:hint="eastAsia"/>
        </w:rPr>
        <w:t>（一）基金管理人</w:t>
      </w:r>
    </w:p>
    <w:p w:rsidR="00F8626C" w:rsidRDefault="00C0614F">
      <w:pPr>
        <w:spacing w:line="360" w:lineRule="auto"/>
        <w:rPr>
          <w:rFonts w:ascii="宋体" w:hAnsi="宋体"/>
        </w:rPr>
      </w:pPr>
      <w:r>
        <w:rPr>
          <w:rFonts w:ascii="宋体" w:hAnsi="宋体" w:hint="eastAsia"/>
        </w:rPr>
        <w:t>名称：南方基金管理有限公司</w:t>
      </w:r>
    </w:p>
    <w:p w:rsidR="00F8626C" w:rsidRDefault="00C0614F">
      <w:pPr>
        <w:spacing w:line="360" w:lineRule="auto"/>
        <w:rPr>
          <w:rFonts w:ascii="宋体" w:hAnsi="宋体"/>
        </w:rPr>
      </w:pPr>
      <w:r>
        <w:rPr>
          <w:rFonts w:ascii="宋体" w:hAnsi="宋体" w:hint="eastAsia"/>
        </w:rPr>
        <w:t>住所：广东省深圳市福田中心区福华一路六号免税商务大厦塔楼</w:t>
      </w:r>
      <w:r>
        <w:rPr>
          <w:rFonts w:ascii="宋体" w:hAnsi="宋体"/>
        </w:rPr>
        <w:t>31、32、33层整层</w:t>
      </w:r>
    </w:p>
    <w:p w:rsidR="00F8626C" w:rsidRDefault="00C0614F">
      <w:pPr>
        <w:spacing w:line="360" w:lineRule="auto"/>
        <w:rPr>
          <w:rFonts w:ascii="宋体" w:hAnsi="宋体"/>
        </w:rPr>
      </w:pPr>
      <w:r>
        <w:rPr>
          <w:rFonts w:ascii="宋体" w:hAnsi="宋体" w:hint="eastAsia"/>
        </w:rPr>
        <w:t>法定代表人：</w:t>
      </w:r>
      <w:r w:rsidR="00E239D9">
        <w:rPr>
          <w:rFonts w:ascii="宋体" w:hAnsi="宋体" w:hint="eastAsia"/>
        </w:rPr>
        <w:t>张海波</w:t>
      </w:r>
    </w:p>
    <w:p w:rsidR="00F8626C" w:rsidRDefault="00C0614F">
      <w:pPr>
        <w:spacing w:line="360" w:lineRule="auto"/>
        <w:rPr>
          <w:rFonts w:ascii="宋体" w:hAnsi="宋体"/>
        </w:rPr>
      </w:pPr>
      <w:r>
        <w:rPr>
          <w:rFonts w:ascii="宋体" w:hAnsi="宋体" w:hint="eastAsia"/>
        </w:rPr>
        <w:t>成立时间：</w:t>
      </w:r>
      <w:r>
        <w:rPr>
          <w:rFonts w:ascii="宋体" w:hAnsi="宋体"/>
        </w:rPr>
        <w:t>1998年3月6日</w:t>
      </w:r>
    </w:p>
    <w:p w:rsidR="00F8626C" w:rsidRDefault="00C0614F">
      <w:pPr>
        <w:spacing w:line="360" w:lineRule="auto"/>
        <w:rPr>
          <w:rFonts w:ascii="宋体" w:hAnsi="宋体"/>
        </w:rPr>
      </w:pPr>
      <w:r>
        <w:rPr>
          <w:rFonts w:ascii="宋体" w:hAnsi="宋体" w:hint="eastAsia"/>
        </w:rPr>
        <w:t>批准设立机关及批准设立文号：中国证监会证监基字</w:t>
      </w:r>
      <w:r>
        <w:rPr>
          <w:rFonts w:ascii="宋体" w:hAnsi="宋体"/>
        </w:rPr>
        <w:t>[1998]4号</w:t>
      </w:r>
    </w:p>
    <w:p w:rsidR="00F8626C" w:rsidRDefault="00C0614F">
      <w:pPr>
        <w:spacing w:line="360" w:lineRule="auto"/>
        <w:rPr>
          <w:rFonts w:ascii="宋体" w:hAnsi="宋体"/>
        </w:rPr>
      </w:pPr>
      <w:r>
        <w:rPr>
          <w:rFonts w:ascii="宋体" w:hAnsi="宋体" w:hint="eastAsia"/>
        </w:rPr>
        <w:t>注册资本：3</w:t>
      </w:r>
      <w:r>
        <w:rPr>
          <w:rFonts w:ascii="宋体" w:hAnsi="宋体"/>
        </w:rPr>
        <w:t>亿元</w:t>
      </w:r>
    </w:p>
    <w:p w:rsidR="00F8626C" w:rsidRDefault="00C0614F">
      <w:pPr>
        <w:spacing w:line="360" w:lineRule="auto"/>
        <w:rPr>
          <w:rFonts w:ascii="宋体" w:hAnsi="宋体"/>
        </w:rPr>
      </w:pPr>
      <w:r>
        <w:rPr>
          <w:rFonts w:ascii="宋体" w:hAnsi="宋体" w:hint="eastAsia"/>
        </w:rPr>
        <w:t>组织形式: 有限责任公司</w:t>
      </w:r>
    </w:p>
    <w:p w:rsidR="00F8626C" w:rsidRDefault="00C0614F">
      <w:pPr>
        <w:spacing w:line="360" w:lineRule="auto"/>
        <w:rPr>
          <w:rFonts w:ascii="宋体" w:hAnsi="宋体"/>
        </w:rPr>
      </w:pPr>
      <w:r>
        <w:rPr>
          <w:rFonts w:ascii="宋体" w:hAnsi="宋体" w:hint="eastAsia"/>
        </w:rPr>
        <w:t>经营范围：基金募集；基金销售；资产管理以及中国证监会许可的其他业务</w:t>
      </w:r>
    </w:p>
    <w:p w:rsidR="00F8626C" w:rsidRDefault="00C0614F">
      <w:pPr>
        <w:spacing w:line="360" w:lineRule="auto"/>
        <w:rPr>
          <w:rFonts w:ascii="宋体" w:hAnsi="宋体"/>
        </w:rPr>
      </w:pPr>
      <w:r>
        <w:rPr>
          <w:rFonts w:ascii="宋体" w:hAnsi="宋体" w:hint="eastAsia"/>
        </w:rPr>
        <w:t>存续期间：持续经营</w:t>
      </w:r>
    </w:p>
    <w:p w:rsidR="00F8626C" w:rsidRDefault="00C0614F">
      <w:pPr>
        <w:spacing w:line="360" w:lineRule="auto"/>
        <w:rPr>
          <w:rFonts w:ascii="宋体" w:hAnsi="宋体"/>
        </w:rPr>
      </w:pPr>
      <w:r>
        <w:rPr>
          <w:rFonts w:ascii="宋体" w:hAnsi="宋体" w:hint="eastAsia"/>
        </w:rPr>
        <w:t>（二）基金托管人</w:t>
      </w:r>
    </w:p>
    <w:p w:rsidR="00F8626C" w:rsidRDefault="00C0614F">
      <w:pPr>
        <w:spacing w:line="360" w:lineRule="auto"/>
        <w:rPr>
          <w:rFonts w:ascii="宋体" w:hAnsi="宋体"/>
        </w:rPr>
      </w:pPr>
      <w:r>
        <w:rPr>
          <w:rFonts w:ascii="宋体" w:hAnsi="宋体" w:hint="eastAsia"/>
        </w:rPr>
        <w:t>名称：中国工商银行股份有限公司</w:t>
      </w:r>
    </w:p>
    <w:p w:rsidR="00F8626C" w:rsidRDefault="00C0614F">
      <w:pPr>
        <w:spacing w:line="360" w:lineRule="auto"/>
        <w:rPr>
          <w:rFonts w:ascii="宋体" w:hAnsi="宋体"/>
        </w:rPr>
      </w:pPr>
      <w:r>
        <w:rPr>
          <w:rFonts w:ascii="宋体" w:hAnsi="宋体" w:hint="eastAsia"/>
        </w:rPr>
        <w:t>住所：北京市西城区复兴门内大街</w:t>
      </w:r>
      <w:r>
        <w:rPr>
          <w:rFonts w:ascii="宋体" w:hAnsi="宋体"/>
        </w:rPr>
        <w:t>55</w:t>
      </w:r>
      <w:r>
        <w:rPr>
          <w:rFonts w:ascii="宋体" w:hAnsi="宋体" w:hint="eastAsia"/>
        </w:rPr>
        <w:t>号（100032）</w:t>
      </w:r>
    </w:p>
    <w:p w:rsidR="00F8626C" w:rsidRDefault="00C0614F">
      <w:pPr>
        <w:spacing w:line="360" w:lineRule="auto"/>
        <w:rPr>
          <w:rFonts w:ascii="宋体" w:hAnsi="宋体"/>
        </w:rPr>
      </w:pPr>
      <w:r>
        <w:rPr>
          <w:rFonts w:ascii="宋体" w:hAnsi="宋体" w:hint="eastAsia"/>
        </w:rPr>
        <w:t>法定代表人：</w:t>
      </w:r>
      <w:r w:rsidR="00E239D9">
        <w:rPr>
          <w:rFonts w:ascii="宋体" w:hAnsi="宋体" w:hint="eastAsia"/>
        </w:rPr>
        <w:t>易会满</w:t>
      </w:r>
    </w:p>
    <w:p w:rsidR="00F8626C" w:rsidRDefault="00C0614F">
      <w:pPr>
        <w:spacing w:line="360" w:lineRule="auto"/>
        <w:rPr>
          <w:rFonts w:ascii="宋体" w:hAnsi="宋体"/>
        </w:rPr>
      </w:pPr>
      <w:r>
        <w:rPr>
          <w:rFonts w:ascii="宋体" w:hAnsi="宋体" w:hint="eastAsia"/>
        </w:rPr>
        <w:t>电话：（</w:t>
      </w:r>
      <w:r>
        <w:rPr>
          <w:rFonts w:ascii="宋体" w:hAnsi="宋体"/>
        </w:rPr>
        <w:t>010</w:t>
      </w:r>
      <w:r>
        <w:rPr>
          <w:rFonts w:ascii="宋体" w:hAnsi="宋体" w:hint="eastAsia"/>
        </w:rPr>
        <w:t>）</w:t>
      </w:r>
      <w:r>
        <w:rPr>
          <w:rFonts w:ascii="宋体" w:hAnsi="宋体"/>
        </w:rPr>
        <w:t>6610</w:t>
      </w:r>
      <w:r>
        <w:rPr>
          <w:rFonts w:ascii="宋体" w:hAnsi="宋体" w:hint="eastAsia"/>
        </w:rPr>
        <w:t>5799</w:t>
      </w:r>
    </w:p>
    <w:p w:rsidR="00F8626C" w:rsidRDefault="00C0614F">
      <w:pPr>
        <w:spacing w:line="360" w:lineRule="auto"/>
        <w:rPr>
          <w:rFonts w:ascii="宋体" w:hAnsi="宋体"/>
        </w:rPr>
      </w:pPr>
      <w:r>
        <w:rPr>
          <w:rFonts w:ascii="宋体" w:hAnsi="宋体" w:hint="eastAsia"/>
        </w:rPr>
        <w:t>传真：（</w:t>
      </w:r>
      <w:r>
        <w:rPr>
          <w:rFonts w:ascii="宋体" w:hAnsi="宋体"/>
        </w:rPr>
        <w:t>010</w:t>
      </w:r>
      <w:r>
        <w:rPr>
          <w:rFonts w:ascii="宋体" w:hAnsi="宋体" w:hint="eastAsia"/>
        </w:rPr>
        <w:t>）</w:t>
      </w:r>
      <w:r>
        <w:rPr>
          <w:rFonts w:ascii="宋体" w:hAnsi="宋体"/>
        </w:rPr>
        <w:t>6610</w:t>
      </w:r>
      <w:r>
        <w:rPr>
          <w:rFonts w:ascii="宋体" w:hAnsi="宋体" w:hint="eastAsia"/>
        </w:rPr>
        <w:t>5798</w:t>
      </w:r>
    </w:p>
    <w:p w:rsidR="00F8626C" w:rsidRDefault="00C0614F">
      <w:pPr>
        <w:spacing w:line="360" w:lineRule="auto"/>
        <w:rPr>
          <w:rFonts w:ascii="宋体" w:hAnsi="宋体"/>
        </w:rPr>
      </w:pPr>
      <w:r>
        <w:rPr>
          <w:rFonts w:ascii="宋体" w:hAnsi="宋体" w:hint="eastAsia"/>
        </w:rPr>
        <w:t>联系人：赵会军</w:t>
      </w:r>
    </w:p>
    <w:p w:rsidR="00F8626C" w:rsidRDefault="00C0614F">
      <w:pPr>
        <w:spacing w:line="360" w:lineRule="auto"/>
        <w:rPr>
          <w:rFonts w:ascii="宋体" w:hAnsi="宋体"/>
        </w:rPr>
      </w:pPr>
      <w:r>
        <w:rPr>
          <w:rFonts w:ascii="宋体" w:hAnsi="宋体" w:hint="eastAsia"/>
        </w:rPr>
        <w:t>成立时间：</w:t>
      </w:r>
      <w:r>
        <w:rPr>
          <w:rFonts w:ascii="宋体" w:hAnsi="宋体"/>
        </w:rPr>
        <w:t>1984</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w:t>
      </w:r>
    </w:p>
    <w:p w:rsidR="00F8626C" w:rsidRDefault="00C0614F">
      <w:pPr>
        <w:spacing w:line="360" w:lineRule="auto"/>
        <w:rPr>
          <w:rFonts w:ascii="宋体" w:hAnsi="宋体"/>
        </w:rPr>
      </w:pPr>
      <w:r>
        <w:rPr>
          <w:rFonts w:ascii="宋体" w:hAnsi="宋体" w:hint="eastAsia"/>
        </w:rPr>
        <w:t>组织形式：股份有限公司</w:t>
      </w:r>
    </w:p>
    <w:p w:rsidR="00F8626C" w:rsidRDefault="00C0614F">
      <w:pPr>
        <w:spacing w:line="360" w:lineRule="auto"/>
        <w:rPr>
          <w:rFonts w:ascii="宋体" w:hAnsi="宋体"/>
        </w:rPr>
      </w:pPr>
      <w:r>
        <w:rPr>
          <w:rFonts w:ascii="宋体" w:hAnsi="宋体" w:hint="eastAsia"/>
        </w:rPr>
        <w:t>注册资本：人民币349,018,545,827元</w:t>
      </w:r>
    </w:p>
    <w:p w:rsidR="00F8626C" w:rsidRDefault="00C0614F">
      <w:pPr>
        <w:spacing w:line="360" w:lineRule="auto"/>
        <w:rPr>
          <w:rFonts w:ascii="宋体" w:hAnsi="宋体"/>
        </w:rPr>
      </w:pPr>
      <w:r>
        <w:rPr>
          <w:rFonts w:ascii="宋体" w:hAnsi="宋体" w:hint="eastAsia"/>
        </w:rPr>
        <w:t>批准设立机关和设立文号：国务院《关于中国人民银行专门行使中央银行职能的决定》（国发[1983]146号）</w:t>
      </w:r>
    </w:p>
    <w:p w:rsidR="00F8626C" w:rsidRDefault="00C0614F">
      <w:pPr>
        <w:spacing w:line="360" w:lineRule="auto"/>
        <w:rPr>
          <w:rFonts w:ascii="宋体" w:hAnsi="宋体"/>
        </w:rPr>
      </w:pPr>
      <w:r>
        <w:rPr>
          <w:rFonts w:ascii="宋体" w:hAnsi="宋体" w:hint="eastAsia"/>
        </w:rPr>
        <w:t>存续期间：持续经营</w:t>
      </w:r>
    </w:p>
    <w:p w:rsidR="00F8626C" w:rsidRDefault="00C0614F">
      <w:pPr>
        <w:spacing w:line="360" w:lineRule="auto"/>
        <w:rPr>
          <w:rFonts w:ascii="宋体" w:hAnsi="宋体"/>
          <w:spacing w:val="6"/>
        </w:rPr>
      </w:pPr>
      <w:r>
        <w:rPr>
          <w:rFonts w:ascii="宋体" w:hAnsi="宋体"/>
          <w:spacing w:val="6"/>
        </w:rPr>
        <w:br w:type="page"/>
      </w:r>
    </w:p>
    <w:p w:rsidR="00F8626C" w:rsidRDefault="00C0614F">
      <w:pPr>
        <w:pStyle w:val="20"/>
        <w:numPr>
          <w:ilvl w:val="1"/>
          <w:numId w:val="1"/>
        </w:numPr>
        <w:spacing w:before="0" w:after="0" w:line="360" w:lineRule="auto"/>
      </w:pPr>
      <w:bookmarkStart w:id="16" w:name="_Toc64174178"/>
      <w:bookmarkStart w:id="17" w:name="_Toc64174259"/>
      <w:bookmarkStart w:id="18" w:name="_Toc55643133"/>
      <w:bookmarkStart w:id="19" w:name="_Toc61983334"/>
      <w:bookmarkStart w:id="20" w:name="_Toc9047756"/>
      <w:bookmarkStart w:id="21" w:name="_Toc9047557"/>
      <w:bookmarkStart w:id="22" w:name="_Toc9047413"/>
      <w:bookmarkStart w:id="23" w:name="_Toc15987773"/>
      <w:bookmarkStart w:id="24" w:name="_Toc10604961"/>
      <w:r>
        <w:rPr>
          <w:rFonts w:hint="eastAsia"/>
        </w:rPr>
        <w:lastRenderedPageBreak/>
        <w:t>托管协议的依据、目的和原则</w:t>
      </w:r>
      <w:bookmarkEnd w:id="15"/>
      <w:bookmarkEnd w:id="16"/>
      <w:bookmarkEnd w:id="17"/>
      <w:bookmarkEnd w:id="18"/>
      <w:bookmarkEnd w:id="19"/>
      <w:bookmarkEnd w:id="20"/>
      <w:bookmarkEnd w:id="21"/>
      <w:bookmarkEnd w:id="22"/>
      <w:bookmarkEnd w:id="23"/>
      <w:bookmarkEnd w:id="24"/>
    </w:p>
    <w:p w:rsidR="00F8626C" w:rsidRDefault="00C0614F">
      <w:pPr>
        <w:spacing w:line="360" w:lineRule="auto"/>
        <w:ind w:firstLineChars="200" w:firstLine="420"/>
        <w:rPr>
          <w:rFonts w:ascii="宋体" w:hAnsi="宋体"/>
        </w:rPr>
      </w:pPr>
      <w:bookmarkStart w:id="25" w:name="_Toc414949334"/>
      <w:r>
        <w:rPr>
          <w:rFonts w:ascii="宋体" w:hAnsi="宋体" w:hint="eastAsia"/>
        </w:rPr>
        <w:t>本协议依据《</w:t>
      </w:r>
      <w:r>
        <w:rPr>
          <w:rFonts w:cs="宋体"/>
          <w:color w:val="000000"/>
          <w:kern w:val="0"/>
          <w:sz w:val="24"/>
        </w:rPr>
        <w:t>中华人民共和国证券投资基金法</w:t>
      </w:r>
      <w:r>
        <w:rPr>
          <w:rFonts w:ascii="宋体" w:hAnsi="宋体" w:hint="eastAsia"/>
        </w:rPr>
        <w:t>》</w:t>
      </w:r>
      <w:r>
        <w:rPr>
          <w:rFonts w:ascii="宋体" w:hAnsi="宋体"/>
        </w:rPr>
        <w:t>（</w:t>
      </w:r>
      <w:r>
        <w:rPr>
          <w:rFonts w:ascii="宋体" w:hAnsi="宋体" w:hint="eastAsia"/>
        </w:rPr>
        <w:t>以下简称</w:t>
      </w:r>
      <w:r>
        <w:rPr>
          <w:rFonts w:cs="宋体" w:hint="eastAsia"/>
          <w:color w:val="000000"/>
          <w:kern w:val="0"/>
          <w:sz w:val="24"/>
        </w:rPr>
        <w:t>《基金法》）、《公开募集</w:t>
      </w:r>
      <w:r>
        <w:rPr>
          <w:rFonts w:cs="宋体"/>
          <w:color w:val="000000"/>
          <w:kern w:val="0"/>
          <w:sz w:val="24"/>
        </w:rPr>
        <w:t>证券投资基金运作管理办法</w:t>
      </w:r>
      <w:r>
        <w:rPr>
          <w:rFonts w:cs="宋体" w:hint="eastAsia"/>
          <w:color w:val="000000"/>
          <w:kern w:val="0"/>
          <w:sz w:val="24"/>
        </w:rPr>
        <w:t>》（以下简称《运作办法》）、</w:t>
      </w:r>
      <w:r>
        <w:rPr>
          <w:rFonts w:cs="宋体"/>
          <w:bCs/>
          <w:color w:val="000000"/>
          <w:kern w:val="0"/>
          <w:sz w:val="24"/>
        </w:rPr>
        <w:t>《公开募集开放式证券投资基金流动性风险管理规定》</w:t>
      </w:r>
      <w:r>
        <w:rPr>
          <w:rFonts w:cs="宋体" w:hint="eastAsia"/>
          <w:bCs/>
          <w:color w:val="000000"/>
          <w:kern w:val="0"/>
          <w:sz w:val="24"/>
        </w:rPr>
        <w:t>、</w:t>
      </w:r>
      <w:r>
        <w:rPr>
          <w:rFonts w:cs="宋体" w:hint="eastAsia"/>
          <w:color w:val="000000"/>
          <w:kern w:val="0"/>
          <w:sz w:val="24"/>
        </w:rPr>
        <w:t>《南方现金增利基金基金合同</w:t>
      </w:r>
      <w:r>
        <w:rPr>
          <w:rFonts w:ascii="宋体" w:hAnsi="宋体" w:hint="eastAsia"/>
        </w:rPr>
        <w:t>》（以下简称《基金合同》）及其他有关规定制定。</w:t>
      </w:r>
    </w:p>
    <w:p w:rsidR="00F8626C" w:rsidRDefault="00C0614F">
      <w:pPr>
        <w:spacing w:line="360" w:lineRule="auto"/>
        <w:ind w:firstLineChars="200" w:firstLine="420"/>
        <w:rPr>
          <w:rFonts w:ascii="宋体" w:hAnsi="宋体"/>
        </w:rPr>
      </w:pPr>
      <w:r>
        <w:rPr>
          <w:rFonts w:ascii="宋体" w:hAnsi="宋体" w:hint="eastAsia"/>
        </w:rPr>
        <w:t>本协议适用于南方现金增利基金。</w:t>
      </w:r>
    </w:p>
    <w:p w:rsidR="00F8626C" w:rsidRDefault="00C0614F">
      <w:pPr>
        <w:spacing w:line="360" w:lineRule="auto"/>
        <w:ind w:firstLineChars="200" w:firstLine="420"/>
        <w:rPr>
          <w:rFonts w:ascii="宋体" w:hAnsi="宋体"/>
        </w:rPr>
      </w:pPr>
      <w:r>
        <w:rPr>
          <w:rFonts w:ascii="宋体" w:hAnsi="宋体" w:hint="eastAsia"/>
        </w:rPr>
        <w:t>本协议的目的是明确基金托管人和基金管理人之间在基金资产的保管、基金资产的管理和运作及相互监督、基金相关资料的保管等相关事宜中的权利、义务及职责，以确保基金资产安全</w:t>
      </w:r>
      <w:r>
        <w:rPr>
          <w:rFonts w:ascii="宋体" w:hAnsi="宋体"/>
        </w:rPr>
        <w:t>，</w:t>
      </w:r>
      <w:r>
        <w:rPr>
          <w:rFonts w:ascii="宋体" w:hAnsi="宋体" w:hint="eastAsia"/>
        </w:rPr>
        <w:t>保护基金持有人的合法权益。</w:t>
      </w:r>
    </w:p>
    <w:p w:rsidR="00F8626C" w:rsidRDefault="00C0614F">
      <w:pPr>
        <w:spacing w:line="360" w:lineRule="auto"/>
        <w:ind w:firstLineChars="200" w:firstLine="420"/>
        <w:rPr>
          <w:rFonts w:ascii="宋体" w:hAnsi="宋体"/>
        </w:rPr>
      </w:pPr>
      <w:r>
        <w:rPr>
          <w:rFonts w:ascii="宋体" w:hAnsi="宋体" w:hint="eastAsia"/>
        </w:rPr>
        <w:t>基金管理人和基金托管人本着平等自愿、诚实信用的原则，经协商一致，签订本协议。</w:t>
      </w:r>
    </w:p>
    <w:p w:rsidR="00F8626C" w:rsidRDefault="00C0614F">
      <w:pPr>
        <w:spacing w:line="360" w:lineRule="auto"/>
        <w:ind w:firstLineChars="200" w:firstLine="420"/>
        <w:rPr>
          <w:rFonts w:ascii="宋体" w:hAnsi="宋体"/>
        </w:rPr>
      </w:pPr>
      <w:r>
        <w:rPr>
          <w:rFonts w:ascii="宋体" w:hAnsi="宋体"/>
        </w:rPr>
        <w:br w:type="page"/>
      </w:r>
    </w:p>
    <w:p w:rsidR="00F8626C" w:rsidRDefault="00C0614F">
      <w:pPr>
        <w:pStyle w:val="20"/>
        <w:numPr>
          <w:ilvl w:val="1"/>
          <w:numId w:val="1"/>
        </w:numPr>
        <w:spacing w:before="0" w:after="0" w:line="360" w:lineRule="auto"/>
      </w:pPr>
      <w:bookmarkStart w:id="26" w:name="_Toc9047558"/>
      <w:bookmarkStart w:id="27" w:name="_Toc64174179"/>
      <w:bookmarkStart w:id="28" w:name="_Toc9047414"/>
      <w:bookmarkStart w:id="29" w:name="_Toc61983335"/>
      <w:bookmarkStart w:id="30" w:name="_Toc64174260"/>
      <w:bookmarkStart w:id="31" w:name="_Toc55643134"/>
      <w:bookmarkStart w:id="32" w:name="_Toc15987774"/>
      <w:bookmarkStart w:id="33" w:name="_Toc9047757"/>
      <w:bookmarkStart w:id="34" w:name="_Toc10604962"/>
      <w:r>
        <w:rPr>
          <w:rFonts w:hint="eastAsia"/>
        </w:rPr>
        <w:lastRenderedPageBreak/>
        <w:t>基金托管人与基金管理人之间的业务监督、核查</w:t>
      </w:r>
      <w:bookmarkEnd w:id="25"/>
      <w:bookmarkEnd w:id="26"/>
      <w:bookmarkEnd w:id="27"/>
      <w:bookmarkEnd w:id="28"/>
      <w:bookmarkEnd w:id="29"/>
      <w:bookmarkEnd w:id="30"/>
      <w:bookmarkEnd w:id="31"/>
      <w:bookmarkEnd w:id="32"/>
      <w:bookmarkEnd w:id="33"/>
      <w:bookmarkEnd w:id="34"/>
    </w:p>
    <w:p w:rsidR="00F8626C" w:rsidRDefault="00C0614F">
      <w:pPr>
        <w:spacing w:line="360" w:lineRule="auto"/>
        <w:ind w:firstLineChars="200" w:firstLine="420"/>
        <w:rPr>
          <w:rFonts w:ascii="宋体" w:hAnsi="宋体"/>
        </w:rPr>
      </w:pPr>
      <w:bookmarkStart w:id="35" w:name="_Toc414949335"/>
      <w:r>
        <w:rPr>
          <w:rFonts w:ascii="宋体" w:hAnsi="宋体" w:hint="eastAsia"/>
        </w:rPr>
        <w:t>（一）基金托管人根据《基金法》、《运作办法》、《基金合同》和有关法规的规定，对基金投资范围、基金资产的投资组合比例、基金资产核算、基金日收益和基金七日收益率的计算方法、基金管理人报酬的计提和支付、基金收益分配、基金支付的费用、基金的融资条件等行为的合法性、合规性进行监督和核查。</w:t>
      </w:r>
    </w:p>
    <w:p w:rsidR="00F8626C" w:rsidRDefault="00C0614F">
      <w:pPr>
        <w:spacing w:line="360" w:lineRule="auto"/>
        <w:ind w:firstLineChars="200" w:firstLine="420"/>
        <w:rPr>
          <w:rFonts w:ascii="宋体" w:hAnsi="宋体"/>
        </w:rPr>
      </w:pPr>
      <w:r>
        <w:rPr>
          <w:rFonts w:ascii="宋体" w:hAnsi="宋体"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F8626C" w:rsidRDefault="00C0614F">
      <w:pPr>
        <w:spacing w:line="360" w:lineRule="auto"/>
        <w:ind w:firstLineChars="200" w:firstLine="420"/>
        <w:rPr>
          <w:rFonts w:ascii="宋体" w:hAnsi="宋体"/>
        </w:rPr>
      </w:pPr>
      <w:r>
        <w:rPr>
          <w:rFonts w:ascii="宋体" w:hAnsi="宋体" w:hint="eastAsia"/>
        </w:rPr>
        <w:t>基金托管人发现基金管理人有重大违规行为，应立即报告中国证监会，同时通知基金管理人限期纠正。基金托管人有义务要求基金管理人赔偿因其过失致使投资者遭受的损失。</w:t>
      </w:r>
    </w:p>
    <w:p w:rsidR="00F8626C" w:rsidRDefault="00C0614F">
      <w:pPr>
        <w:spacing w:line="360" w:lineRule="auto"/>
        <w:ind w:firstLineChars="200" w:firstLine="420"/>
        <w:rPr>
          <w:rFonts w:ascii="宋体" w:hAnsi="宋体"/>
        </w:rPr>
      </w:pPr>
      <w:r>
        <w:rPr>
          <w:rFonts w:ascii="宋体" w:hAnsi="宋体" w:hint="eastAsia"/>
        </w:rPr>
        <w:t>（二）根据《基金法》、《运作办法》、、《基金合同》及其它有关规定，基金管理人就基金托管人是否及时执行基金管理人的投资指令、是否妥善保管基金的全部资产、是否及时按照基金管理人的指令向注册登记人支付赎回和分红款项，对基金托管人进行监督和核查。</w:t>
      </w:r>
    </w:p>
    <w:p w:rsidR="00F8626C" w:rsidRDefault="00C0614F">
      <w:pPr>
        <w:spacing w:line="360" w:lineRule="auto"/>
        <w:ind w:firstLineChars="200" w:firstLine="420"/>
        <w:rPr>
          <w:rFonts w:ascii="宋体" w:hAnsi="宋体"/>
        </w:rPr>
      </w:pPr>
      <w:r>
        <w:rPr>
          <w:rFonts w:ascii="宋体" w:hAnsi="宋体"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F8626C" w:rsidRDefault="00C0614F">
      <w:pPr>
        <w:spacing w:line="360" w:lineRule="auto"/>
        <w:ind w:firstLineChars="200" w:firstLine="420"/>
        <w:rPr>
          <w:rFonts w:ascii="宋体" w:hAnsi="宋体"/>
        </w:rPr>
      </w:pPr>
      <w:r>
        <w:rPr>
          <w:rFonts w:ascii="宋体" w:hAnsi="宋体" w:hint="eastAsia"/>
        </w:rPr>
        <w:t>基金管理人发现基金托管人的行为违反《基金法》、《运作办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F8626C" w:rsidRDefault="00C0614F">
      <w:pPr>
        <w:spacing w:line="360" w:lineRule="auto"/>
        <w:ind w:firstLineChars="200" w:firstLine="420"/>
        <w:rPr>
          <w:rFonts w:ascii="宋体" w:hAnsi="宋体"/>
        </w:rPr>
      </w:pPr>
      <w:r>
        <w:rPr>
          <w:rFonts w:ascii="宋体" w:hAnsi="宋体" w:hint="eastAsia"/>
        </w:rPr>
        <w:t>基金管理人发现基金托管人有重大违规行为，应立即报告中国证监会，同时通知基金托管人限期纠正。</w:t>
      </w:r>
    </w:p>
    <w:p w:rsidR="00F8626C" w:rsidRDefault="00C0614F">
      <w:pPr>
        <w:spacing w:line="360" w:lineRule="auto"/>
        <w:ind w:firstLineChars="200" w:firstLine="420"/>
        <w:rPr>
          <w:rFonts w:ascii="宋体" w:hAnsi="宋体"/>
        </w:rPr>
      </w:pPr>
      <w:r>
        <w:rPr>
          <w:rFonts w:ascii="宋体" w:hAnsi="宋体"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r>
        <w:rPr>
          <w:rFonts w:ascii="宋体" w:hAnsi="宋体"/>
        </w:rPr>
        <w:br w:type="page"/>
      </w:r>
    </w:p>
    <w:p w:rsidR="00F8626C" w:rsidRDefault="00C0614F">
      <w:pPr>
        <w:pStyle w:val="20"/>
        <w:numPr>
          <w:ilvl w:val="1"/>
          <w:numId w:val="1"/>
        </w:numPr>
        <w:spacing w:before="0" w:after="0" w:line="360" w:lineRule="auto"/>
      </w:pPr>
      <w:bookmarkStart w:id="36" w:name="_Toc55643135"/>
      <w:bookmarkStart w:id="37" w:name="_Toc61983336"/>
      <w:bookmarkStart w:id="38" w:name="_Toc9047415"/>
      <w:bookmarkStart w:id="39" w:name="_Toc9047559"/>
      <w:bookmarkStart w:id="40" w:name="_Toc10604963"/>
      <w:bookmarkStart w:id="41" w:name="_Toc15987775"/>
      <w:bookmarkStart w:id="42" w:name="_Toc64174180"/>
      <w:bookmarkStart w:id="43" w:name="_Toc64174261"/>
      <w:bookmarkStart w:id="44" w:name="_Toc9047758"/>
      <w:r>
        <w:rPr>
          <w:rFonts w:hint="eastAsia"/>
        </w:rPr>
        <w:lastRenderedPageBreak/>
        <w:t>基金资产保管</w:t>
      </w:r>
      <w:bookmarkEnd w:id="35"/>
      <w:bookmarkEnd w:id="36"/>
      <w:bookmarkEnd w:id="37"/>
      <w:bookmarkEnd w:id="38"/>
      <w:bookmarkEnd w:id="39"/>
      <w:bookmarkEnd w:id="40"/>
      <w:bookmarkEnd w:id="41"/>
      <w:bookmarkEnd w:id="42"/>
      <w:bookmarkEnd w:id="43"/>
      <w:bookmarkEnd w:id="44"/>
    </w:p>
    <w:p w:rsidR="00F8626C" w:rsidRDefault="00C0614F">
      <w:pPr>
        <w:spacing w:line="360" w:lineRule="auto"/>
        <w:ind w:firstLineChars="200" w:firstLine="420"/>
        <w:rPr>
          <w:rFonts w:ascii="宋体" w:hAnsi="宋体"/>
        </w:rPr>
      </w:pPr>
      <w:r>
        <w:rPr>
          <w:rFonts w:ascii="宋体" w:hAnsi="宋体"/>
        </w:rPr>
        <w:t>（</w:t>
      </w:r>
      <w:r>
        <w:rPr>
          <w:rFonts w:ascii="宋体" w:hAnsi="宋体" w:hint="eastAsia"/>
        </w:rPr>
        <w:t>一）基金资产保管的原则</w:t>
      </w:r>
    </w:p>
    <w:p w:rsidR="00F8626C" w:rsidRDefault="00C0614F">
      <w:pPr>
        <w:spacing w:line="360" w:lineRule="auto"/>
        <w:ind w:firstLineChars="200" w:firstLine="420"/>
        <w:rPr>
          <w:rFonts w:ascii="宋体" w:hAnsi="宋体"/>
        </w:rPr>
      </w:pPr>
      <w:r>
        <w:rPr>
          <w:rFonts w:ascii="宋体" w:hAnsi="宋体" w:hint="eastAsia"/>
        </w:rPr>
        <w:t>基金托管人依法持有基金资产，应安全保管所收到的基金的全部资产。</w:t>
      </w:r>
    </w:p>
    <w:p w:rsidR="00F8626C" w:rsidRDefault="00C0614F">
      <w:pPr>
        <w:spacing w:line="360" w:lineRule="auto"/>
        <w:ind w:firstLineChars="200" w:firstLine="420"/>
        <w:rPr>
          <w:rFonts w:ascii="宋体" w:hAnsi="宋体"/>
        </w:rPr>
      </w:pPr>
      <w:r>
        <w:rPr>
          <w:rFonts w:ascii="宋体" w:hAnsi="宋体"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F8626C" w:rsidRDefault="00C0614F">
      <w:pPr>
        <w:spacing w:line="360" w:lineRule="auto"/>
        <w:ind w:firstLineChars="200" w:firstLine="420"/>
        <w:rPr>
          <w:rFonts w:ascii="宋体" w:hAnsi="宋体"/>
        </w:rPr>
      </w:pPr>
      <w:r>
        <w:rPr>
          <w:rFonts w:ascii="宋体" w:hAnsi="宋体" w:hint="eastAsia"/>
        </w:rPr>
        <w:t>对于因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F8626C" w:rsidRDefault="00C0614F">
      <w:pPr>
        <w:spacing w:line="360" w:lineRule="auto"/>
        <w:ind w:firstLineChars="200" w:firstLine="420"/>
        <w:rPr>
          <w:rFonts w:ascii="宋体" w:hAnsi="宋体"/>
        </w:rPr>
      </w:pPr>
      <w:r>
        <w:rPr>
          <w:rFonts w:ascii="宋体" w:hAnsi="宋体"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F8626C" w:rsidRDefault="00C0614F">
      <w:pPr>
        <w:spacing w:line="360" w:lineRule="auto"/>
        <w:ind w:firstLineChars="200" w:firstLine="420"/>
        <w:rPr>
          <w:rFonts w:ascii="宋体" w:hAnsi="宋体"/>
        </w:rPr>
      </w:pPr>
      <w:r>
        <w:rPr>
          <w:rFonts w:ascii="宋体" w:hAnsi="宋体" w:hint="eastAsia"/>
        </w:rPr>
        <w:t>（二）基金成立时募集资金的验证</w:t>
      </w:r>
    </w:p>
    <w:p w:rsidR="00F8626C" w:rsidRDefault="00C0614F">
      <w:pPr>
        <w:spacing w:line="360" w:lineRule="auto"/>
        <w:ind w:firstLineChars="200" w:firstLine="420"/>
        <w:rPr>
          <w:rFonts w:ascii="宋体" w:hAnsi="宋体"/>
        </w:rPr>
      </w:pPr>
      <w:r>
        <w:rPr>
          <w:rFonts w:ascii="宋体" w:hAnsi="宋体" w:hint="eastAsia"/>
        </w:rPr>
        <w:t>基金募集截止，由基金管理人聘请具有从事证券相关业务资格的会计师事务所进行验资，出具验资报告。基金管理人应督促注册登记人应将募得的全部资金存入基金托管人为基金开立的银行账户中。基金托管人在收到资金当日出具基金资产接收报告。</w:t>
      </w:r>
    </w:p>
    <w:p w:rsidR="00F8626C" w:rsidRDefault="00C0614F">
      <w:pPr>
        <w:spacing w:line="360" w:lineRule="auto"/>
        <w:ind w:firstLineChars="200" w:firstLine="420"/>
        <w:rPr>
          <w:rFonts w:ascii="宋体" w:hAnsi="宋体"/>
        </w:rPr>
      </w:pPr>
      <w:r>
        <w:rPr>
          <w:rFonts w:ascii="宋体" w:hAnsi="宋体" w:hint="eastAsia"/>
        </w:rPr>
        <w:t>（三）投资人申购资金的归集和赎回资金的派发</w:t>
      </w:r>
    </w:p>
    <w:p w:rsidR="00F8626C" w:rsidRDefault="00C0614F">
      <w:pPr>
        <w:spacing w:line="360" w:lineRule="auto"/>
        <w:ind w:firstLineChars="200" w:firstLine="420"/>
        <w:rPr>
          <w:rFonts w:ascii="宋体" w:hAnsi="宋体"/>
        </w:rPr>
      </w:pPr>
      <w:r>
        <w:rPr>
          <w:rFonts w:ascii="宋体" w:hAnsi="宋体" w:hint="eastAsia"/>
        </w:rPr>
        <w:t>基金申购、赎回的款项原则上采用净额交收的结算方式，具体以双方认可方式进行。</w:t>
      </w:r>
    </w:p>
    <w:p w:rsidR="00F8626C" w:rsidRDefault="00C0614F">
      <w:pPr>
        <w:spacing w:line="360" w:lineRule="auto"/>
        <w:ind w:firstLineChars="200" w:firstLine="420"/>
        <w:rPr>
          <w:rFonts w:ascii="宋体" w:hAnsi="宋体"/>
        </w:rPr>
      </w:pPr>
      <w:r>
        <w:rPr>
          <w:rFonts w:ascii="宋体" w:hAnsi="宋体" w:hint="eastAsia"/>
        </w:rPr>
        <w:t>基金托管人应及时查收申购资金是否到账，对于未准时到账的资金，应及时通知基金管理人，由基金管理人负责催收。</w:t>
      </w:r>
    </w:p>
    <w:p w:rsidR="00F8626C" w:rsidRDefault="00C0614F">
      <w:pPr>
        <w:spacing w:line="360" w:lineRule="auto"/>
        <w:ind w:firstLineChars="200" w:firstLine="420"/>
        <w:rPr>
          <w:rFonts w:ascii="宋体" w:hAnsi="宋体"/>
        </w:rPr>
      </w:pPr>
      <w:r>
        <w:rPr>
          <w:rFonts w:ascii="宋体" w:hAnsi="宋体" w:hint="eastAsia"/>
        </w:rPr>
        <w:t>因投资者赎回而应划付的款项，基金托管人应根据基金管理人的指令进行划付。</w:t>
      </w:r>
    </w:p>
    <w:p w:rsidR="00F8626C" w:rsidRDefault="00C0614F">
      <w:pPr>
        <w:spacing w:line="360" w:lineRule="auto"/>
        <w:ind w:firstLineChars="200" w:firstLine="420"/>
        <w:rPr>
          <w:rFonts w:ascii="宋体" w:hAnsi="宋体"/>
        </w:rPr>
      </w:pPr>
      <w:r>
        <w:rPr>
          <w:rFonts w:ascii="宋体" w:hAnsi="宋体" w:hint="eastAsia"/>
        </w:rPr>
        <w:t>（四）基金银行账户的开设和管理</w:t>
      </w:r>
    </w:p>
    <w:p w:rsidR="00F8626C" w:rsidRDefault="00C0614F">
      <w:pPr>
        <w:spacing w:line="360" w:lineRule="auto"/>
        <w:ind w:firstLineChars="200" w:firstLine="420"/>
        <w:rPr>
          <w:rFonts w:ascii="宋体" w:hAnsi="宋体"/>
        </w:rPr>
      </w:pPr>
      <w:r>
        <w:rPr>
          <w:rFonts w:ascii="宋体" w:hAnsi="宋体" w:hint="eastAsia"/>
        </w:rPr>
        <w:t>基金托管人以基金托管人的名义在其营业机构开设基金托管专户，保管基金的银行存款。该账户的开设和管理由基金托管人承担。本基金的一切货币收支活动，均需通过基金托管人的基金托管专户进行。</w:t>
      </w:r>
    </w:p>
    <w:p w:rsidR="00F8626C" w:rsidRDefault="00C0614F">
      <w:pPr>
        <w:spacing w:line="360" w:lineRule="auto"/>
        <w:ind w:firstLineChars="200" w:firstLine="420"/>
        <w:rPr>
          <w:rFonts w:ascii="宋体" w:hAnsi="宋体"/>
        </w:rPr>
      </w:pPr>
      <w:r>
        <w:rPr>
          <w:rFonts w:ascii="宋体" w:hAnsi="宋体" w:hint="eastAsia"/>
        </w:rPr>
        <w:t>基金托管专户的开立和使用，限于满足开展本基金业务的需要。基金托管人和基金管理人不得假借本基金的名义开立任何银行账户；亦不得使用基金的任何账户进行本基金业务以外的活动。</w:t>
      </w:r>
    </w:p>
    <w:p w:rsidR="00F8626C" w:rsidRDefault="00C0614F">
      <w:pPr>
        <w:spacing w:line="360" w:lineRule="auto"/>
        <w:ind w:firstLineChars="200" w:firstLine="420"/>
        <w:rPr>
          <w:rFonts w:ascii="宋体" w:hAnsi="宋体"/>
        </w:rPr>
      </w:pPr>
      <w:r>
        <w:rPr>
          <w:rFonts w:ascii="宋体" w:hAnsi="宋体" w:hint="eastAsia"/>
        </w:rPr>
        <w:lastRenderedPageBreak/>
        <w:t>基金托管专户的管理应符合《银行账户管理办法》、《现金管理条例》、《中国人民银行利率管理的有关规定》、《关于大额现金支付管理的通知》、《支付结算办法》以及中国人民银行的其他规定。</w:t>
      </w:r>
    </w:p>
    <w:p w:rsidR="00F8626C" w:rsidRDefault="00C0614F">
      <w:pPr>
        <w:spacing w:line="360" w:lineRule="auto"/>
        <w:ind w:firstLineChars="200" w:firstLine="420"/>
        <w:rPr>
          <w:rFonts w:ascii="宋体" w:hAnsi="宋体"/>
        </w:rPr>
      </w:pPr>
      <w:r>
        <w:rPr>
          <w:rFonts w:ascii="宋体" w:hAnsi="宋体" w:hint="eastAsia"/>
        </w:rPr>
        <w:t>（五）基金证券账户和资金账户的开设和管理</w:t>
      </w:r>
    </w:p>
    <w:p w:rsidR="00F8626C" w:rsidRDefault="00C0614F">
      <w:pPr>
        <w:spacing w:line="360" w:lineRule="auto"/>
        <w:ind w:firstLineChars="200" w:firstLine="420"/>
        <w:rPr>
          <w:rFonts w:ascii="宋体" w:hAnsi="宋体"/>
        </w:rPr>
      </w:pPr>
      <w:r>
        <w:rPr>
          <w:rFonts w:ascii="宋体" w:hAnsi="宋体" w:hint="eastAsia"/>
        </w:rPr>
        <w:t>基金托管人以基金托管人和本基金联名的方式在中国证券登记结算有限公司上海分公司/深圳分公司开设证券账户。</w:t>
      </w:r>
    </w:p>
    <w:p w:rsidR="00F8626C" w:rsidRDefault="00C0614F">
      <w:pPr>
        <w:spacing w:line="360" w:lineRule="auto"/>
        <w:ind w:firstLineChars="200" w:firstLine="420"/>
        <w:rPr>
          <w:rFonts w:ascii="宋体" w:hAnsi="宋体"/>
        </w:rPr>
      </w:pPr>
      <w:r>
        <w:rPr>
          <w:rFonts w:ascii="宋体" w:hAnsi="宋体"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F8626C" w:rsidRDefault="00C0614F">
      <w:pPr>
        <w:spacing w:line="360" w:lineRule="auto"/>
        <w:ind w:firstLineChars="200" w:firstLine="420"/>
        <w:rPr>
          <w:rFonts w:ascii="宋体" w:hAnsi="宋体"/>
        </w:rPr>
      </w:pPr>
      <w:r>
        <w:rPr>
          <w:rFonts w:ascii="宋体" w:hAnsi="宋体" w:hint="eastAsia"/>
        </w:rPr>
        <w:t>基金托管人</w:t>
      </w:r>
      <w:r>
        <w:rPr>
          <w:rFonts w:ascii="宋体" w:hAnsi="宋体"/>
        </w:rPr>
        <w:t>以</w:t>
      </w:r>
      <w:r>
        <w:rPr>
          <w:rFonts w:ascii="宋体" w:hAnsi="宋体" w:hint="eastAsia"/>
        </w:rPr>
        <w:t>基金托管人的名义在中国证券登记结算有限责任公司上海分公司/深圳分公司开立基金证券交易资金账户，用于证券清算。</w:t>
      </w:r>
    </w:p>
    <w:p w:rsidR="00F8626C" w:rsidRDefault="00C0614F">
      <w:pPr>
        <w:spacing w:line="360" w:lineRule="auto"/>
        <w:ind w:firstLineChars="200" w:firstLine="420"/>
        <w:rPr>
          <w:rFonts w:ascii="宋体" w:hAnsi="宋体"/>
          <w:color w:val="FF0000"/>
        </w:rPr>
      </w:pPr>
      <w:r>
        <w:rPr>
          <w:rFonts w:ascii="宋体" w:hAnsi="宋体" w:hint="eastAsia"/>
        </w:rPr>
        <w:t>（六）债券托管乙类账户</w:t>
      </w:r>
      <w:r>
        <w:rPr>
          <w:rFonts w:ascii="宋体" w:hAnsi="宋体" w:hint="eastAsia"/>
          <w:color w:val="000000"/>
        </w:rPr>
        <w:t>的开设和管理</w:t>
      </w:r>
    </w:p>
    <w:p w:rsidR="00F8626C" w:rsidRDefault="00C0614F">
      <w:pPr>
        <w:spacing w:line="360" w:lineRule="auto"/>
        <w:ind w:firstLineChars="200" w:firstLine="420"/>
        <w:rPr>
          <w:rFonts w:ascii="宋体" w:hAnsi="宋体"/>
        </w:rPr>
      </w:pPr>
      <w:r>
        <w:rPr>
          <w:rFonts w:ascii="宋体" w:hAnsi="宋体" w:hint="eastAsia"/>
        </w:rPr>
        <w:t>1、基金成立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和查询以及资金的清算。</w:t>
      </w:r>
    </w:p>
    <w:p w:rsidR="00F8626C" w:rsidRDefault="00C0614F">
      <w:pPr>
        <w:spacing w:line="360" w:lineRule="auto"/>
        <w:ind w:firstLineChars="200" w:firstLine="420"/>
        <w:rPr>
          <w:rFonts w:ascii="宋体" w:hAnsi="宋体"/>
        </w:rPr>
      </w:pPr>
      <w:r>
        <w:rPr>
          <w:rFonts w:ascii="宋体" w:hAnsi="宋体" w:hint="eastAsia"/>
        </w:rPr>
        <w:t>2、</w:t>
      </w:r>
      <w:r>
        <w:rPr>
          <w:rFonts w:ascii="宋体" w:hAnsi="宋体" w:hint="eastAsia"/>
          <w:color w:val="FF6600"/>
        </w:rPr>
        <w:t>同业拆借市场交易账户根据中国人民银行、中国外汇交易中心和中央国债登记结算有限责任公司的有关规定，由基金管理人开设、使用和管理。</w:t>
      </w:r>
      <w:r>
        <w:rPr>
          <w:rFonts w:ascii="宋体" w:hAnsi="宋体" w:hint="eastAsia"/>
        </w:rPr>
        <w:t>基金管理人和基金托管人应一起负责为基金对外签订全国银行间国债市场回购主协议，正本由基金托管人保管，基金管理人保存副本。</w:t>
      </w:r>
    </w:p>
    <w:p w:rsidR="00F8626C" w:rsidRDefault="00C0614F">
      <w:pPr>
        <w:spacing w:line="360" w:lineRule="auto"/>
        <w:ind w:firstLineChars="200" w:firstLine="420"/>
        <w:rPr>
          <w:rFonts w:ascii="宋体" w:hAnsi="宋体"/>
        </w:rPr>
      </w:pPr>
      <w:r>
        <w:rPr>
          <w:rFonts w:ascii="宋体" w:hAnsi="宋体" w:hint="eastAsia"/>
        </w:rPr>
        <w:t>（七）基金资产投资的有关实物证券的保管</w:t>
      </w:r>
    </w:p>
    <w:p w:rsidR="00F8626C" w:rsidRDefault="00C0614F">
      <w:pPr>
        <w:spacing w:line="360" w:lineRule="auto"/>
        <w:ind w:firstLineChars="200" w:firstLine="420"/>
        <w:rPr>
          <w:rFonts w:ascii="宋体" w:hAnsi="宋体"/>
        </w:rPr>
      </w:pPr>
      <w:r>
        <w:rPr>
          <w:rFonts w:ascii="宋体" w:hAnsi="宋体"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由托管人以外机构保管的实物券不承担责任。</w:t>
      </w:r>
    </w:p>
    <w:p w:rsidR="00F8626C" w:rsidRDefault="00C0614F">
      <w:pPr>
        <w:spacing w:line="360" w:lineRule="auto"/>
        <w:ind w:firstLineChars="200" w:firstLine="420"/>
        <w:rPr>
          <w:rFonts w:ascii="宋体" w:hAnsi="宋体"/>
        </w:rPr>
      </w:pPr>
      <w:r>
        <w:rPr>
          <w:rFonts w:ascii="宋体" w:hAnsi="宋体" w:hint="eastAsia"/>
        </w:rPr>
        <w:t>（八）和基金资产有关的重大合同的保管</w:t>
      </w:r>
    </w:p>
    <w:p w:rsidR="00F8626C" w:rsidRDefault="00C0614F">
      <w:pPr>
        <w:spacing w:line="360" w:lineRule="auto"/>
        <w:ind w:firstLineChars="200" w:firstLine="420"/>
        <w:rPr>
          <w:rFonts w:ascii="宋体" w:hAnsi="宋体"/>
        </w:rPr>
      </w:pPr>
      <w:bookmarkStart w:id="45" w:name="_Toc414949336"/>
      <w:r>
        <w:rPr>
          <w:rFonts w:ascii="宋体" w:hAnsi="宋体" w:hint="eastAsia"/>
        </w:rPr>
        <w:t>与基金投资有关的重大合同的签署，除本协议另有规定外，由基金管理人负责。合同原件由基金管理人保管。保管期限按照国家有关规定执行。</w:t>
      </w:r>
    </w:p>
    <w:p w:rsidR="00F8626C" w:rsidRDefault="00C0614F">
      <w:pPr>
        <w:spacing w:line="360" w:lineRule="auto"/>
        <w:ind w:firstLineChars="200" w:firstLine="420"/>
        <w:rPr>
          <w:rFonts w:ascii="宋体" w:hAnsi="宋体"/>
        </w:rPr>
      </w:pPr>
      <w:r>
        <w:rPr>
          <w:rFonts w:ascii="宋体" w:hAnsi="宋体" w:hint="eastAsia"/>
        </w:rPr>
        <w:t>与基金资产有关的重大合同，根据基金的需要以基金的名义签署。合同原件由基金托管人保管。</w:t>
      </w:r>
      <w:r>
        <w:rPr>
          <w:rFonts w:ascii="宋体" w:hAnsi="宋体"/>
        </w:rPr>
        <w:br w:type="page"/>
      </w:r>
    </w:p>
    <w:p w:rsidR="00F8626C" w:rsidRDefault="00F8626C">
      <w:pPr>
        <w:spacing w:line="360" w:lineRule="auto"/>
        <w:ind w:firstLineChars="200" w:firstLine="420"/>
        <w:rPr>
          <w:rFonts w:ascii="宋体" w:hAnsi="宋体"/>
          <w:kern w:val="21"/>
        </w:rPr>
      </w:pPr>
    </w:p>
    <w:p w:rsidR="00F8626C" w:rsidRDefault="00C0614F">
      <w:pPr>
        <w:pStyle w:val="20"/>
        <w:numPr>
          <w:ilvl w:val="1"/>
          <w:numId w:val="1"/>
        </w:numPr>
        <w:spacing w:before="0" w:after="0" w:line="360" w:lineRule="auto"/>
      </w:pPr>
      <w:bookmarkStart w:id="46" w:name="_Toc9047416"/>
      <w:bookmarkStart w:id="47" w:name="_Toc10604964"/>
      <w:bookmarkStart w:id="48" w:name="_Toc9047759"/>
      <w:bookmarkStart w:id="49" w:name="_Toc9047560"/>
      <w:bookmarkStart w:id="50" w:name="_Toc61983337"/>
      <w:bookmarkStart w:id="51" w:name="_Toc15987776"/>
      <w:bookmarkStart w:id="52" w:name="_Toc64174262"/>
      <w:bookmarkStart w:id="53" w:name="_Toc64174181"/>
      <w:bookmarkStart w:id="54" w:name="_Toc55643136"/>
      <w:r>
        <w:rPr>
          <w:rFonts w:hint="eastAsia"/>
        </w:rPr>
        <w:t>划款指令的发送、确认及执行</w:t>
      </w:r>
      <w:bookmarkEnd w:id="45"/>
      <w:bookmarkEnd w:id="46"/>
      <w:bookmarkEnd w:id="47"/>
      <w:bookmarkEnd w:id="48"/>
      <w:bookmarkEnd w:id="49"/>
      <w:bookmarkEnd w:id="50"/>
      <w:bookmarkEnd w:id="51"/>
      <w:bookmarkEnd w:id="52"/>
      <w:bookmarkEnd w:id="53"/>
      <w:bookmarkEnd w:id="54"/>
    </w:p>
    <w:p w:rsidR="00F8626C" w:rsidRDefault="00C0614F">
      <w:pPr>
        <w:spacing w:line="360" w:lineRule="auto"/>
        <w:ind w:firstLineChars="200" w:firstLine="420"/>
        <w:rPr>
          <w:rFonts w:ascii="宋体" w:hAnsi="宋体"/>
        </w:rPr>
      </w:pPr>
      <w:bookmarkStart w:id="55" w:name="_Toc414949337"/>
      <w:r>
        <w:rPr>
          <w:rFonts w:ascii="宋体" w:hAnsi="宋体" w:hint="eastAsia"/>
        </w:rPr>
        <w:t>（一）基金管理人对发送划款指令人员的授权</w:t>
      </w:r>
    </w:p>
    <w:p w:rsidR="00F8626C" w:rsidRDefault="00C0614F">
      <w:pPr>
        <w:spacing w:line="360" w:lineRule="auto"/>
        <w:ind w:firstLineChars="200" w:firstLine="420"/>
        <w:rPr>
          <w:rFonts w:ascii="宋体" w:hAnsi="宋体"/>
        </w:rPr>
      </w:pPr>
      <w:r>
        <w:rPr>
          <w:rFonts w:ascii="宋体" w:hAnsi="宋体" w:hint="eastAsia"/>
        </w:rPr>
        <w:t>基金管理人应向基金托管人提供预留印鉴和授权人签字样本，事先书面通知（以下称“授权通知”）基金托管人有权发送划款指令的人员名单，注明相应的交易权限，并规定基金管理人向基金托管人发送指令时基金托管人确认有权发送人员身份的方法。基金托管人收到授权通知后，将签字和印鉴与预留样本核对无误后，以回函确认。并将《基金专用证券交易席位租用协议》加密传真至托管行备案。如《基金专用证券交易席位租用协议》到期无续签协议，托管行将不再支付该席位佣金及其他任何费用。</w:t>
      </w:r>
    </w:p>
    <w:p w:rsidR="00F8626C" w:rsidRDefault="00C0614F">
      <w:pPr>
        <w:spacing w:line="360" w:lineRule="auto"/>
        <w:ind w:firstLineChars="200" w:firstLine="420"/>
        <w:rPr>
          <w:rFonts w:ascii="宋体" w:hAnsi="宋体"/>
        </w:rPr>
      </w:pPr>
      <w:r>
        <w:rPr>
          <w:rFonts w:ascii="宋体" w:hAnsi="宋体" w:hint="eastAsia"/>
        </w:rPr>
        <w:t>基金管理人和基金托管人对授权文件负有保密义务，其内容不得向授权人及相关操作人员以外的任何人泄露。</w:t>
      </w:r>
    </w:p>
    <w:p w:rsidR="00F8626C" w:rsidRDefault="00C0614F">
      <w:pPr>
        <w:spacing w:line="360" w:lineRule="auto"/>
        <w:ind w:firstLineChars="200" w:firstLine="420"/>
        <w:rPr>
          <w:rFonts w:ascii="宋体" w:hAnsi="宋体"/>
        </w:rPr>
      </w:pPr>
      <w:r>
        <w:rPr>
          <w:rFonts w:ascii="宋体" w:hAnsi="宋体" w:hint="eastAsia"/>
        </w:rPr>
        <w:t>（二）划款指令的内容</w:t>
      </w:r>
    </w:p>
    <w:p w:rsidR="00F8626C" w:rsidRDefault="00C0614F">
      <w:pPr>
        <w:spacing w:line="360" w:lineRule="auto"/>
        <w:ind w:firstLineChars="200" w:firstLine="420"/>
        <w:rPr>
          <w:rFonts w:ascii="宋体" w:hAnsi="宋体"/>
        </w:rPr>
      </w:pPr>
      <w:r>
        <w:rPr>
          <w:rFonts w:ascii="宋体" w:hAnsi="宋体" w:hint="eastAsia"/>
        </w:rPr>
        <w:t>划款指令是基金管理人在运用基金资产时，向基金托管人发出的资金划拨及其他款项支付的指令，包括赎回及收益分配资金的拨付以及与投资有关的划款等。</w:t>
      </w:r>
    </w:p>
    <w:p w:rsidR="00F8626C" w:rsidRDefault="00C0614F">
      <w:pPr>
        <w:spacing w:line="360" w:lineRule="auto"/>
        <w:ind w:firstLineChars="200" w:firstLine="420"/>
        <w:rPr>
          <w:rFonts w:ascii="宋体" w:hAnsi="宋体"/>
        </w:rPr>
      </w:pPr>
      <w:r>
        <w:rPr>
          <w:rFonts w:ascii="宋体" w:hAnsi="宋体" w:hint="eastAsia"/>
        </w:rPr>
        <w:t>（三）划款指令的发送、确认及执行</w:t>
      </w:r>
    </w:p>
    <w:p w:rsidR="00F8626C" w:rsidRDefault="00C0614F">
      <w:pPr>
        <w:spacing w:line="360" w:lineRule="auto"/>
        <w:ind w:firstLineChars="200" w:firstLine="420"/>
        <w:rPr>
          <w:rFonts w:ascii="宋体" w:hAnsi="宋体"/>
        </w:rPr>
      </w:pPr>
      <w:r>
        <w:rPr>
          <w:rFonts w:ascii="宋体" w:hAnsi="宋体" w:hint="eastAsia"/>
        </w:rPr>
        <w:t>划款指令由（授权通知）确定的有权发送人代表基金管理人向托管人发送。基金托管人依照（授权通知）规定的方法确认指令有效后，方可执行划款指令。对于被授权人发出的指令，基金管理人不得否认其效力。基金托管人在履行监督职能时，发现基金管理人划款指令违法违规的，不予执行并报中国证监会。</w:t>
      </w:r>
    </w:p>
    <w:p w:rsidR="00F8626C" w:rsidRDefault="00C0614F">
      <w:pPr>
        <w:spacing w:line="360" w:lineRule="auto"/>
        <w:ind w:firstLineChars="200" w:firstLine="420"/>
        <w:rPr>
          <w:rFonts w:ascii="宋体" w:hAnsi="宋体"/>
        </w:rPr>
      </w:pPr>
      <w:r>
        <w:rPr>
          <w:rFonts w:ascii="宋体" w:hAnsi="宋体" w:hint="eastAsia"/>
        </w:rPr>
        <w:t>基金管理人应按照《基金法》、《运作办法》、《基金合同》和有关法律法规的规定，在其合法的经营权限和交易权限内发送划款指令；发送人应按照其授权权限发送划款指令。若划款指令违规，基金托管人事后方能发现的，托管人应及时通知基金管理人改正，如发生重大违规事件，托管人有权向中国证监会报告。</w:t>
      </w:r>
    </w:p>
    <w:p w:rsidR="00F8626C" w:rsidRDefault="00C0614F">
      <w:pPr>
        <w:spacing w:line="360" w:lineRule="auto"/>
        <w:ind w:firstLineChars="200" w:firstLine="420"/>
        <w:rPr>
          <w:rFonts w:ascii="宋体" w:hAnsi="宋体"/>
        </w:rPr>
      </w:pPr>
      <w:r>
        <w:rPr>
          <w:rFonts w:ascii="宋体" w:hAnsi="宋体" w:hint="eastAsia"/>
        </w:rPr>
        <w:t>管理人应将同业市场债券交易通知单加盖印章后传真给托管人。</w:t>
      </w:r>
    </w:p>
    <w:p w:rsidR="00F8626C" w:rsidRDefault="00C0614F">
      <w:pPr>
        <w:spacing w:line="360" w:lineRule="auto"/>
        <w:ind w:firstLineChars="200" w:firstLine="420"/>
        <w:rPr>
          <w:rFonts w:ascii="宋体" w:hAnsi="宋体"/>
        </w:rPr>
      </w:pPr>
      <w:r>
        <w:rPr>
          <w:rFonts w:ascii="宋体" w:hAnsi="宋体" w:hint="eastAsia"/>
        </w:rPr>
        <w:t>（四）被授权人的更换</w:t>
      </w:r>
    </w:p>
    <w:p w:rsidR="00F8626C" w:rsidRDefault="00C0614F">
      <w:pPr>
        <w:spacing w:line="360" w:lineRule="auto"/>
        <w:ind w:firstLineChars="200" w:firstLine="420"/>
        <w:rPr>
          <w:rFonts w:ascii="宋体" w:hAnsi="宋体"/>
        </w:rPr>
      </w:pPr>
      <w:r>
        <w:rPr>
          <w:rFonts w:ascii="宋体" w:hAnsi="宋体" w:hint="eastAsia"/>
        </w:rPr>
        <w:t>基金管理人撤换被授权人员或改变被授权人员的权限，必须提前至少一个交易日，使用加密传真向基金托管人发出由授权人签字和盖章的被授权人变更通知，同时电话通知基金托管人。被授权人变更通知，自基金管理人收到托管人传真回函确认时开始生效。基金管理人在此后三日内将被授权人变更通知的正本送交基金托管人。</w:t>
      </w:r>
      <w:r>
        <w:rPr>
          <w:rFonts w:ascii="宋体" w:hAnsi="宋体"/>
        </w:rPr>
        <w:br w:type="page"/>
      </w:r>
    </w:p>
    <w:p w:rsidR="00F8626C" w:rsidRDefault="00C0614F">
      <w:pPr>
        <w:pStyle w:val="20"/>
        <w:numPr>
          <w:ilvl w:val="1"/>
          <w:numId w:val="1"/>
        </w:numPr>
        <w:spacing w:before="0" w:after="0" w:line="360" w:lineRule="auto"/>
      </w:pPr>
      <w:bookmarkStart w:id="56" w:name="_Toc64174263"/>
      <w:bookmarkStart w:id="57" w:name="_Toc64174182"/>
      <w:bookmarkStart w:id="58" w:name="_Toc9047760"/>
      <w:bookmarkStart w:id="59" w:name="_Toc9047417"/>
      <w:bookmarkStart w:id="60" w:name="_Toc9047561"/>
      <w:bookmarkStart w:id="61" w:name="_Toc10604965"/>
      <w:bookmarkStart w:id="62" w:name="_Toc55643137"/>
      <w:bookmarkStart w:id="63" w:name="_Toc15987777"/>
      <w:bookmarkStart w:id="64" w:name="_Toc61983338"/>
      <w:r>
        <w:rPr>
          <w:rFonts w:hint="eastAsia"/>
        </w:rPr>
        <w:lastRenderedPageBreak/>
        <w:t>交易安排</w:t>
      </w:r>
      <w:bookmarkEnd w:id="55"/>
      <w:bookmarkEnd w:id="56"/>
      <w:bookmarkEnd w:id="57"/>
      <w:bookmarkEnd w:id="58"/>
      <w:bookmarkEnd w:id="59"/>
      <w:bookmarkEnd w:id="60"/>
      <w:bookmarkEnd w:id="61"/>
      <w:bookmarkEnd w:id="62"/>
      <w:bookmarkEnd w:id="63"/>
      <w:bookmarkEnd w:id="64"/>
    </w:p>
    <w:p w:rsidR="00F8626C" w:rsidRDefault="00C0614F">
      <w:pPr>
        <w:spacing w:line="360" w:lineRule="auto"/>
        <w:ind w:firstLineChars="200" w:firstLine="420"/>
        <w:rPr>
          <w:rFonts w:ascii="宋体" w:hAnsi="宋体"/>
        </w:rPr>
      </w:pPr>
      <w:bookmarkStart w:id="65" w:name="_Toc414949338"/>
      <w:r>
        <w:rPr>
          <w:rFonts w:ascii="宋体" w:hAnsi="宋体" w:hint="eastAsia"/>
        </w:rPr>
        <w:t>（一）交易单元的租用及管理</w:t>
      </w:r>
    </w:p>
    <w:p w:rsidR="00F8626C" w:rsidRDefault="00C0614F">
      <w:pPr>
        <w:spacing w:line="360" w:lineRule="auto"/>
        <w:ind w:firstLineChars="200" w:firstLine="420"/>
        <w:rPr>
          <w:rFonts w:ascii="宋体" w:hAnsi="宋体"/>
        </w:rPr>
      </w:pPr>
      <w:r>
        <w:rPr>
          <w:rFonts w:ascii="宋体" w:hAnsi="宋体" w:hint="eastAsia"/>
        </w:rPr>
        <w:t>基金管理人负责选择代理本基金证券买卖的证券经营机构，向其租用专用交易单元，选定后要立即通知托管人。</w:t>
      </w:r>
    </w:p>
    <w:p w:rsidR="00F8626C" w:rsidRDefault="00C0614F">
      <w:pPr>
        <w:spacing w:line="360" w:lineRule="auto"/>
        <w:ind w:firstLineChars="200" w:firstLine="420"/>
        <w:rPr>
          <w:rFonts w:ascii="宋体" w:hAnsi="宋体"/>
        </w:rPr>
      </w:pPr>
      <w:r>
        <w:t>基金管理公司通过一家证券公司的交易席位买卖证券的年交易佣金，不得超过其当年所有基金买卖证券交易佣金的</w:t>
      </w:r>
      <w:r>
        <w:t>30%</w:t>
      </w:r>
      <w:r>
        <w:rPr>
          <w:rFonts w:hint="eastAsia"/>
        </w:rPr>
        <w:t>。</w:t>
      </w:r>
      <w:r>
        <w:rPr>
          <w:rFonts w:ascii="宋体" w:hAnsi="宋体" w:hint="eastAsia"/>
        </w:rPr>
        <w:t>基金管理公司将根据有关规定，在基金中期报告和年度报告中将所选证券经营机构的有关情况、基金通过该证券经营机构买卖证券的成交量、支付的佣金等予以披露，并向中国证监会报告。</w:t>
      </w:r>
    </w:p>
    <w:p w:rsidR="00F8626C" w:rsidRDefault="00C0614F">
      <w:pPr>
        <w:spacing w:line="360" w:lineRule="auto"/>
        <w:ind w:firstLineChars="200" w:firstLine="420"/>
        <w:rPr>
          <w:rFonts w:ascii="宋体" w:hAnsi="宋体"/>
        </w:rPr>
      </w:pPr>
      <w:r>
        <w:rPr>
          <w:rFonts w:ascii="宋体" w:hAnsi="宋体" w:hint="eastAsia"/>
        </w:rPr>
        <w:t>（二）证券交易的清算与交割</w:t>
      </w:r>
    </w:p>
    <w:p w:rsidR="00F8626C" w:rsidRDefault="00C0614F">
      <w:pPr>
        <w:spacing w:line="360" w:lineRule="auto"/>
        <w:ind w:firstLineChars="200" w:firstLine="420"/>
        <w:rPr>
          <w:rFonts w:ascii="宋体" w:hAnsi="宋体"/>
        </w:rPr>
      </w:pPr>
      <w:r>
        <w:rPr>
          <w:rFonts w:ascii="宋体" w:hAnsi="宋体" w:hint="eastAsia"/>
        </w:rPr>
        <w:t>1、资金划拨</w:t>
      </w:r>
    </w:p>
    <w:p w:rsidR="00F8626C" w:rsidRDefault="00C0614F">
      <w:pPr>
        <w:spacing w:line="360" w:lineRule="auto"/>
        <w:ind w:firstLineChars="200" w:firstLine="420"/>
        <w:rPr>
          <w:rFonts w:ascii="宋体" w:hAnsi="宋体"/>
        </w:rPr>
      </w:pPr>
      <w:r>
        <w:rPr>
          <w:rFonts w:ascii="宋体" w:hAnsi="宋体" w:hint="eastAsia"/>
        </w:rPr>
        <w:t>基金管理人的资金划款指令，经基金托管人审核无误后立即执行，不得延误。如基金管理人的资金划款指令有违反有关规定的情况，托管人执行指令后方能发现的，应通知基金管理人改正，如有重大违规时，应同时报告中国证监会。</w:t>
      </w:r>
    </w:p>
    <w:p w:rsidR="00F8626C" w:rsidRDefault="00C0614F">
      <w:pPr>
        <w:spacing w:line="360" w:lineRule="auto"/>
        <w:ind w:firstLineChars="200" w:firstLine="420"/>
        <w:rPr>
          <w:rFonts w:ascii="宋体" w:hAnsi="宋体"/>
        </w:rPr>
      </w:pPr>
      <w:r>
        <w:rPr>
          <w:rFonts w:ascii="宋体" w:hAnsi="宋体" w:hint="eastAsia"/>
        </w:rPr>
        <w:t>2、结算方式</w:t>
      </w:r>
    </w:p>
    <w:p w:rsidR="00F8626C" w:rsidRDefault="00C0614F">
      <w:pPr>
        <w:spacing w:line="360" w:lineRule="auto"/>
        <w:ind w:firstLineChars="200" w:firstLine="420"/>
        <w:rPr>
          <w:rFonts w:ascii="宋体" w:hAnsi="宋体"/>
        </w:rPr>
      </w:pPr>
      <w:r>
        <w:rPr>
          <w:rFonts w:ascii="宋体" w:hAnsi="宋体" w:hint="eastAsia"/>
        </w:rPr>
        <w:t>支付结算可使用汇款、汇票、支票、本票及电子支付平台等。</w:t>
      </w:r>
    </w:p>
    <w:p w:rsidR="00F8626C" w:rsidRDefault="00C0614F">
      <w:pPr>
        <w:spacing w:line="360" w:lineRule="auto"/>
        <w:ind w:firstLineChars="200" w:firstLine="420"/>
        <w:rPr>
          <w:rFonts w:ascii="宋体" w:hAnsi="宋体"/>
        </w:rPr>
      </w:pPr>
      <w:r>
        <w:rPr>
          <w:rFonts w:ascii="宋体" w:hAnsi="宋体" w:hint="eastAsia"/>
        </w:rPr>
        <w:t>3、证券交易资金的清算</w:t>
      </w:r>
    </w:p>
    <w:p w:rsidR="00F8626C" w:rsidRDefault="00C0614F">
      <w:pPr>
        <w:spacing w:line="360" w:lineRule="auto"/>
        <w:ind w:firstLineChars="200" w:firstLine="420"/>
        <w:rPr>
          <w:rFonts w:ascii="宋体" w:hAnsi="宋体"/>
        </w:rPr>
      </w:pPr>
      <w:r>
        <w:rPr>
          <w:rFonts w:ascii="宋体" w:hAnsi="宋体" w:hint="eastAsia"/>
        </w:rPr>
        <w:t>基金管理人的投资指令执行后，因本基金投资于证券发生的所有交易的清算交割，由基金托管人负责办理。如果因为托管人因过错在清算上造成基金资产的损失，应由托管人负责赔偿基金的损失；如果因为基金管理人买空、卖空造成基金投资清算困难和风险的，托管人发现后应立即通知基金管理人，由基金管理人负责解决，由此给基金造成的损失由基金管理人承担。</w:t>
      </w:r>
    </w:p>
    <w:p w:rsidR="00F8626C" w:rsidRDefault="00C0614F">
      <w:pPr>
        <w:spacing w:line="360" w:lineRule="auto"/>
        <w:ind w:firstLineChars="200" w:firstLine="420"/>
        <w:rPr>
          <w:rFonts w:ascii="宋体" w:hAnsi="宋体"/>
        </w:rPr>
      </w:pPr>
      <w:r>
        <w:rPr>
          <w:rFonts w:ascii="宋体" w:hAnsi="宋体" w:hint="eastAsia"/>
        </w:rPr>
        <w:t>（三）交易记录、资金和证券账目的对账</w:t>
      </w:r>
    </w:p>
    <w:p w:rsidR="00F8626C" w:rsidRDefault="00C0614F">
      <w:pPr>
        <w:spacing w:line="360" w:lineRule="auto"/>
        <w:ind w:firstLineChars="200" w:firstLine="420"/>
        <w:rPr>
          <w:rFonts w:ascii="宋体" w:hAnsi="宋体"/>
        </w:rPr>
      </w:pPr>
      <w:r>
        <w:rPr>
          <w:rFonts w:ascii="宋体" w:hAnsi="宋体" w:hint="eastAsia"/>
        </w:rPr>
        <w:t>基金管理人每一工作日将交易成交记录和交易所清算数据在当日全部交易结束后以双方认可的方式传给托管人，托管人按日对当日交易记录进行核对。</w:t>
      </w:r>
    </w:p>
    <w:p w:rsidR="00F8626C" w:rsidRDefault="00C0614F">
      <w:pPr>
        <w:spacing w:line="360" w:lineRule="auto"/>
        <w:ind w:firstLineChars="200" w:firstLine="420"/>
        <w:rPr>
          <w:rFonts w:ascii="宋体" w:hAnsi="宋体"/>
        </w:rPr>
      </w:pPr>
      <w:r>
        <w:rPr>
          <w:rFonts w:ascii="宋体" w:hAnsi="宋体" w:hint="eastAsia"/>
        </w:rPr>
        <w:t>基金的资金账目由双方每日对账一次，确保双方账目账账相符。</w:t>
      </w:r>
    </w:p>
    <w:p w:rsidR="00F8626C" w:rsidRDefault="00C0614F">
      <w:pPr>
        <w:spacing w:line="360" w:lineRule="auto"/>
        <w:ind w:firstLineChars="200" w:firstLine="420"/>
        <w:rPr>
          <w:rFonts w:ascii="宋体" w:hAnsi="宋体"/>
        </w:rPr>
      </w:pPr>
      <w:r>
        <w:rPr>
          <w:rFonts w:ascii="宋体" w:hAnsi="宋体" w:hint="eastAsia"/>
        </w:rPr>
        <w:t>基金证券账目每周最后一个交易日终了时双方进行对账。实物券账目，每月月末双方进行账实核对。</w:t>
      </w:r>
    </w:p>
    <w:p w:rsidR="00F8626C" w:rsidRDefault="00C0614F">
      <w:pPr>
        <w:spacing w:line="360" w:lineRule="auto"/>
        <w:ind w:firstLineChars="200" w:firstLine="420"/>
        <w:rPr>
          <w:rFonts w:ascii="宋体" w:hAnsi="宋体"/>
        </w:rPr>
      </w:pPr>
      <w:bookmarkStart w:id="66" w:name="_Toc55018313"/>
      <w:r>
        <w:rPr>
          <w:rFonts w:ascii="宋体" w:hAnsi="宋体" w:hint="eastAsia"/>
        </w:rPr>
        <w:t>（四）基金持有人买卖基金份额的清算、过户与登记方式</w:t>
      </w:r>
      <w:bookmarkEnd w:id="66"/>
    </w:p>
    <w:p w:rsidR="00F8626C" w:rsidRDefault="00C0614F">
      <w:pPr>
        <w:spacing w:line="360" w:lineRule="auto"/>
        <w:ind w:firstLine="437"/>
      </w:pPr>
      <w:r>
        <w:rPr>
          <w:rFonts w:hint="eastAsia"/>
        </w:rPr>
        <w:t>基金投资者可通过基金管理人的直销网点和销售代理人的代销网点进行申购和赎回申</w:t>
      </w:r>
      <w:r>
        <w:rPr>
          <w:rFonts w:hint="eastAsia"/>
        </w:rPr>
        <w:lastRenderedPageBreak/>
        <w:t>请，由基金注册登记人办理基金份额的注册登记以及基金资产的清算。</w:t>
      </w:r>
    </w:p>
    <w:p w:rsidR="00F8626C" w:rsidRDefault="00C0614F">
      <w:pPr>
        <w:spacing w:line="360" w:lineRule="auto"/>
        <w:ind w:firstLine="437"/>
      </w:pPr>
      <w:r>
        <w:rPr>
          <w:rFonts w:hint="eastAsia"/>
        </w:rPr>
        <w:t>基金托管人负责接收</w:t>
      </w:r>
      <w:r>
        <w:rPr>
          <w:rFonts w:hint="eastAsia"/>
        </w:rPr>
        <w:t>TA</w:t>
      </w:r>
      <w:r>
        <w:rPr>
          <w:rFonts w:hint="eastAsia"/>
        </w:rPr>
        <w:t>传达的数据，并确认资金的到账情况及时进行账务处理，及赎回款项的支付。</w:t>
      </w:r>
    </w:p>
    <w:p w:rsidR="00F8626C" w:rsidRDefault="00C0614F">
      <w:pPr>
        <w:spacing w:line="360" w:lineRule="auto"/>
        <w:ind w:firstLine="437"/>
        <w:rPr>
          <w:rFonts w:ascii="宋体" w:hAnsi="宋体"/>
        </w:rPr>
      </w:pPr>
      <w:r>
        <w:rPr>
          <w:rFonts w:hint="eastAsia"/>
        </w:rPr>
        <w:t>基金管理人应于每个开放日</w:t>
      </w:r>
      <w:r>
        <w:rPr>
          <w:rFonts w:hint="eastAsia"/>
        </w:rPr>
        <w:t>9</w:t>
      </w:r>
      <w:r>
        <w:rPr>
          <w:rFonts w:hint="eastAsia"/>
        </w:rPr>
        <w:t>：</w:t>
      </w:r>
      <w:r>
        <w:rPr>
          <w:rFonts w:hint="eastAsia"/>
        </w:rPr>
        <w:t>00</w:t>
      </w:r>
      <w:r>
        <w:rPr>
          <w:rFonts w:hint="eastAsia"/>
        </w:rPr>
        <w:t>之前依据注册登记人的确认指令将前一个开放日的南方现金增利基金申购和赎回的份额及金额通过电子版和书面形式通知基金托管人；注册登记人根据双方认可的方式在</w:t>
      </w:r>
      <w:r>
        <w:rPr>
          <w:rFonts w:hint="eastAsia"/>
        </w:rPr>
        <w:t>T</w:t>
      </w:r>
      <w:r>
        <w:rPr>
          <w:rFonts w:hint="eastAsia"/>
        </w:rPr>
        <w:t>日与基金托管人进行</w:t>
      </w:r>
      <w:r>
        <w:rPr>
          <w:rFonts w:hint="eastAsia"/>
        </w:rPr>
        <w:t>T-2</w:t>
      </w:r>
      <w:r>
        <w:rPr>
          <w:rFonts w:hint="eastAsia"/>
        </w:rPr>
        <w:t>日（或</w:t>
      </w:r>
      <w:r>
        <w:rPr>
          <w:rFonts w:hint="eastAsia"/>
        </w:rPr>
        <w:t>T-1</w:t>
      </w:r>
      <w:r>
        <w:rPr>
          <w:rFonts w:hint="eastAsia"/>
        </w:rPr>
        <w:t>日）申购和</w:t>
      </w:r>
      <w:r>
        <w:rPr>
          <w:rFonts w:hint="eastAsia"/>
        </w:rPr>
        <w:t>T-1</w:t>
      </w:r>
      <w:r>
        <w:rPr>
          <w:rFonts w:hint="eastAsia"/>
        </w:rPr>
        <w:t>日赎回资金的交收。</w:t>
      </w:r>
      <w:r>
        <w:rPr>
          <w:rFonts w:ascii="宋体" w:hAnsi="宋体" w:hint="eastAsia"/>
        </w:rPr>
        <w:t>如果因注册登记人原因不能提供相关数据，则通知时间自动顺延，由此造成的损失由基金管理人负责。</w:t>
      </w:r>
    </w:p>
    <w:p w:rsidR="00F8626C" w:rsidRDefault="00C0614F">
      <w:pPr>
        <w:spacing w:line="360" w:lineRule="auto"/>
        <w:ind w:firstLine="437"/>
        <w:rPr>
          <w:rFonts w:ascii="宋体" w:hAnsi="宋体"/>
        </w:rPr>
      </w:pPr>
      <w:r>
        <w:rPr>
          <w:rFonts w:ascii="宋体" w:hAnsi="宋体"/>
        </w:rPr>
        <w:br w:type="page"/>
      </w:r>
    </w:p>
    <w:p w:rsidR="00F8626C" w:rsidRDefault="00F8626C">
      <w:pPr>
        <w:spacing w:line="360" w:lineRule="auto"/>
        <w:ind w:firstLineChars="200" w:firstLine="420"/>
        <w:rPr>
          <w:rFonts w:ascii="宋体" w:hAnsi="宋体"/>
        </w:rPr>
      </w:pPr>
    </w:p>
    <w:p w:rsidR="00F8626C" w:rsidRDefault="00C0614F">
      <w:pPr>
        <w:pStyle w:val="20"/>
        <w:numPr>
          <w:ilvl w:val="1"/>
          <w:numId w:val="1"/>
        </w:numPr>
        <w:spacing w:before="0" w:after="0" w:line="360" w:lineRule="auto"/>
      </w:pPr>
      <w:bookmarkStart w:id="67" w:name="_Toc15987778"/>
      <w:bookmarkStart w:id="68" w:name="_Toc9047562"/>
      <w:bookmarkStart w:id="69" w:name="_Toc9047761"/>
      <w:bookmarkStart w:id="70" w:name="_Toc10604966"/>
      <w:bookmarkStart w:id="71" w:name="_Toc9047418"/>
      <w:bookmarkStart w:id="72" w:name="_Toc64174183"/>
      <w:bookmarkStart w:id="73" w:name="_Toc61983339"/>
      <w:bookmarkStart w:id="74" w:name="_Toc64174264"/>
      <w:bookmarkStart w:id="75" w:name="_Toc55643138"/>
      <w:r>
        <w:rPr>
          <w:rFonts w:hint="eastAsia"/>
        </w:rPr>
        <w:t>资产净值计算和会计核算</w:t>
      </w:r>
      <w:bookmarkEnd w:id="65"/>
      <w:bookmarkEnd w:id="67"/>
      <w:bookmarkEnd w:id="68"/>
      <w:bookmarkEnd w:id="69"/>
      <w:bookmarkEnd w:id="70"/>
      <w:bookmarkEnd w:id="71"/>
      <w:bookmarkEnd w:id="72"/>
      <w:bookmarkEnd w:id="73"/>
      <w:bookmarkEnd w:id="74"/>
      <w:bookmarkEnd w:id="75"/>
    </w:p>
    <w:p w:rsidR="00F8626C" w:rsidRDefault="00C0614F">
      <w:pPr>
        <w:widowControl/>
        <w:adjustRightInd w:val="0"/>
        <w:spacing w:line="360" w:lineRule="auto"/>
        <w:ind w:firstLineChars="200" w:firstLine="480"/>
        <w:jc w:val="left"/>
        <w:rPr>
          <w:rFonts w:cs="宋体"/>
          <w:color w:val="000000"/>
          <w:kern w:val="0"/>
          <w:sz w:val="24"/>
        </w:rPr>
      </w:pPr>
      <w:bookmarkStart w:id="76" w:name="_Toc414949339"/>
      <w:r>
        <w:rPr>
          <w:rFonts w:cs="宋体" w:hint="eastAsia"/>
          <w:color w:val="000000"/>
          <w:kern w:val="0"/>
          <w:sz w:val="24"/>
        </w:rPr>
        <w:t>（一）基金资产净值的计算</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1</w:t>
      </w:r>
      <w:r>
        <w:rPr>
          <w:rFonts w:cs="宋体" w:hint="eastAsia"/>
          <w:color w:val="000000"/>
          <w:kern w:val="0"/>
          <w:sz w:val="24"/>
        </w:rPr>
        <w:t>、基金资产净值的计算、复核的时间和程序</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基金资产净值是指基金资产总值减去负债后的价值。基金管理人每个工作日计算基金资产净值、各类基金份额的每万份基金已实现收益和</w:t>
      </w:r>
      <w:r>
        <w:rPr>
          <w:rFonts w:cs="宋体" w:hint="eastAsia"/>
          <w:color w:val="000000"/>
          <w:kern w:val="0"/>
          <w:sz w:val="24"/>
        </w:rPr>
        <w:t>7</w:t>
      </w:r>
      <w:r>
        <w:rPr>
          <w:rFonts w:cs="宋体" w:hint="eastAsia"/>
          <w:color w:val="000000"/>
          <w:kern w:val="0"/>
          <w:sz w:val="24"/>
        </w:rPr>
        <w:t>日年化收益率，经基金托管人复核，按规定公告。</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基金管理人应每工作日对基金资产估值。估值原则应符合《基金合同》、《证券投资基金会计核算办法》及其他法律、法规的规定。用于基金信息披露的基金资产净值、各类基金份额的每万份基金已实现收益及</w:t>
      </w:r>
      <w:r>
        <w:rPr>
          <w:rFonts w:cs="宋体" w:hint="eastAsia"/>
          <w:color w:val="000000"/>
          <w:kern w:val="0"/>
          <w:sz w:val="24"/>
        </w:rPr>
        <w:t>7</w:t>
      </w:r>
      <w:r>
        <w:rPr>
          <w:rFonts w:cs="宋体" w:hint="eastAsia"/>
          <w:color w:val="000000"/>
          <w:kern w:val="0"/>
          <w:sz w:val="24"/>
        </w:rPr>
        <w:t>日年化收益率由基金管理人负责计算，基金托管人复核。基金管理人应于每个工作日交易结束后计算当日的基金份额资产净值、各类基金份额的每万份基金已实现收益及</w:t>
      </w:r>
      <w:r>
        <w:rPr>
          <w:rFonts w:cs="宋体" w:hint="eastAsia"/>
          <w:color w:val="000000"/>
          <w:kern w:val="0"/>
          <w:sz w:val="24"/>
        </w:rPr>
        <w:t>7</w:t>
      </w:r>
      <w:r>
        <w:rPr>
          <w:rFonts w:cs="宋体" w:hint="eastAsia"/>
          <w:color w:val="000000"/>
          <w:kern w:val="0"/>
          <w:sz w:val="24"/>
        </w:rPr>
        <w:t>日年化收益率并以双方认可的方式发送给基金托管人。基金托管人对净值计算结果复核后以双方认可的方式发送给基金管理人，由基金管理人对基金净值予以公布。</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根据《基金法》，基金管理人计算并公告基金资产净值，基金托管人复核、审查基金管理人计算的基金资产净值、各类基金份额的每万份基金已实现收益及</w:t>
      </w:r>
      <w:r>
        <w:rPr>
          <w:rFonts w:cs="宋体" w:hint="eastAsia"/>
          <w:color w:val="000000"/>
          <w:kern w:val="0"/>
          <w:sz w:val="24"/>
        </w:rPr>
        <w:t>7</w:t>
      </w:r>
      <w:r>
        <w:rPr>
          <w:rFonts w:cs="宋体" w:hint="eastAsia"/>
          <w:color w:val="000000"/>
          <w:kern w:val="0"/>
          <w:sz w:val="24"/>
        </w:rPr>
        <w:t>日年化收益率。因此，本基金的会计责任方是基金管理人，就与本基金有关的会计问题，如经相关各方在平等基础上充分讨论后，仍无法达成一致的意见，按照基金管理人对基金资产净值、各类基金份额的每万份基金已实现收益及</w:t>
      </w:r>
      <w:r>
        <w:rPr>
          <w:rFonts w:cs="宋体" w:hint="eastAsia"/>
          <w:color w:val="000000"/>
          <w:kern w:val="0"/>
          <w:sz w:val="24"/>
        </w:rPr>
        <w:t>7</w:t>
      </w:r>
      <w:r>
        <w:rPr>
          <w:rFonts w:cs="宋体" w:hint="eastAsia"/>
          <w:color w:val="000000"/>
          <w:kern w:val="0"/>
          <w:sz w:val="24"/>
        </w:rPr>
        <w:t>日年化收益率的计算结果对外予以公布。法律法规以及监管部门有强制规定的，从其规定。如有新增事项，按国家最新规定估值。</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（二）基金资产估值方法</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1</w:t>
      </w:r>
      <w:r>
        <w:rPr>
          <w:rFonts w:cs="宋体" w:hint="eastAsia"/>
          <w:color w:val="000000"/>
          <w:kern w:val="0"/>
          <w:sz w:val="24"/>
        </w:rPr>
        <w:t>、本基金估值采用“摊余成本法”，即计价对象以买入成本列示，按照票面利率或协议利率并考虑其买入时的溢价与折价，在剩余存续期内按照实际利率法摊销，每日计提损益。本基金不采用市场利率和上市交易的债券和票据的市价计算基金资产净值。</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2</w:t>
      </w:r>
      <w:r>
        <w:rPr>
          <w:rFonts w:cs="宋体" w:hint="eastAsia"/>
          <w:color w:val="000000"/>
          <w:kern w:val="0"/>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w:t>
      </w:r>
      <w:r>
        <w:rPr>
          <w:rFonts w:cs="宋体" w:hint="eastAsia"/>
          <w:color w:val="000000"/>
          <w:kern w:val="0"/>
          <w:sz w:val="24"/>
        </w:rPr>
        <w:lastRenderedPageBreak/>
        <w:t>对象进行重新评估，即“影子定价”。当“摊余成本法”计算的基金资产净值与“影子定价”确定的基金资产净值负偏离达到</w:t>
      </w:r>
      <w:r>
        <w:rPr>
          <w:rFonts w:cs="宋体" w:hint="eastAsia"/>
          <w:color w:val="000000"/>
          <w:kern w:val="0"/>
          <w:sz w:val="24"/>
        </w:rPr>
        <w:t>0.25%</w:t>
      </w:r>
      <w:r>
        <w:rPr>
          <w:rFonts w:cs="宋体" w:hint="eastAsia"/>
          <w:color w:val="000000"/>
          <w:kern w:val="0"/>
          <w:sz w:val="24"/>
        </w:rPr>
        <w:t>时，</w:t>
      </w:r>
      <w:r>
        <w:rPr>
          <w:rFonts w:cs="宋体"/>
          <w:color w:val="000000"/>
          <w:kern w:val="0"/>
          <w:sz w:val="24"/>
        </w:rPr>
        <w:t>基金管理人</w:t>
      </w:r>
      <w:r>
        <w:rPr>
          <w:rFonts w:cs="宋体" w:hint="eastAsia"/>
          <w:color w:val="000000"/>
          <w:kern w:val="0"/>
          <w:sz w:val="24"/>
        </w:rPr>
        <w:t>应当在</w:t>
      </w:r>
      <w:r>
        <w:rPr>
          <w:rFonts w:cs="宋体" w:hint="eastAsia"/>
          <w:color w:val="000000"/>
          <w:kern w:val="0"/>
          <w:sz w:val="24"/>
        </w:rPr>
        <w:t>5</w:t>
      </w:r>
      <w:r>
        <w:rPr>
          <w:rFonts w:cs="宋体" w:hint="eastAsia"/>
          <w:color w:val="000000"/>
          <w:kern w:val="0"/>
          <w:sz w:val="24"/>
        </w:rPr>
        <w:t>个交易日内将负偏离度绝对值调整到</w:t>
      </w:r>
      <w:r>
        <w:rPr>
          <w:rFonts w:cs="宋体" w:hint="eastAsia"/>
          <w:color w:val="000000"/>
          <w:kern w:val="0"/>
          <w:sz w:val="24"/>
        </w:rPr>
        <w:t>0.25%</w:t>
      </w:r>
      <w:r>
        <w:rPr>
          <w:rFonts w:cs="宋体" w:hint="eastAsia"/>
          <w:color w:val="000000"/>
          <w:kern w:val="0"/>
          <w:sz w:val="24"/>
        </w:rPr>
        <w:t>以内</w:t>
      </w:r>
      <w:r>
        <w:rPr>
          <w:rFonts w:cs="宋体"/>
          <w:color w:val="000000"/>
          <w:kern w:val="0"/>
          <w:sz w:val="24"/>
        </w:rPr>
        <w:t>，</w:t>
      </w:r>
      <w:r>
        <w:rPr>
          <w:rFonts w:cs="宋体" w:hint="eastAsia"/>
          <w:color w:val="000000"/>
          <w:kern w:val="0"/>
          <w:sz w:val="24"/>
        </w:rPr>
        <w:t>当正偏离绝对值</w:t>
      </w:r>
      <w:r>
        <w:rPr>
          <w:rFonts w:cs="宋体"/>
          <w:color w:val="000000"/>
          <w:kern w:val="0"/>
          <w:sz w:val="24"/>
        </w:rPr>
        <w:t>达到</w:t>
      </w:r>
      <w:r>
        <w:rPr>
          <w:rFonts w:cs="宋体"/>
          <w:color w:val="000000"/>
          <w:kern w:val="0"/>
          <w:sz w:val="24"/>
        </w:rPr>
        <w:t>0.5%</w:t>
      </w:r>
      <w:r>
        <w:rPr>
          <w:rFonts w:cs="宋体" w:hint="eastAsia"/>
          <w:color w:val="000000"/>
          <w:kern w:val="0"/>
          <w:sz w:val="24"/>
        </w:rPr>
        <w:t>时</w:t>
      </w:r>
      <w:r>
        <w:rPr>
          <w:rFonts w:cs="宋体"/>
          <w:color w:val="000000"/>
          <w:kern w:val="0"/>
          <w:sz w:val="24"/>
        </w:rPr>
        <w:t>，基金管理人</w:t>
      </w:r>
      <w:r>
        <w:rPr>
          <w:rFonts w:cs="宋体" w:hint="eastAsia"/>
          <w:color w:val="000000"/>
          <w:kern w:val="0"/>
          <w:sz w:val="24"/>
        </w:rPr>
        <w:t>应当暂停接受申购并在</w:t>
      </w:r>
      <w:r>
        <w:rPr>
          <w:rFonts w:cs="宋体" w:hint="eastAsia"/>
          <w:color w:val="000000"/>
          <w:kern w:val="0"/>
          <w:sz w:val="24"/>
        </w:rPr>
        <w:t>5</w:t>
      </w:r>
      <w:r>
        <w:rPr>
          <w:rFonts w:cs="宋体" w:hint="eastAsia"/>
          <w:color w:val="000000"/>
          <w:kern w:val="0"/>
          <w:sz w:val="24"/>
        </w:rPr>
        <w:t>个交易日内将正偏离度绝对值调整到</w:t>
      </w:r>
      <w:r>
        <w:rPr>
          <w:rFonts w:cs="宋体" w:hint="eastAsia"/>
          <w:color w:val="000000"/>
          <w:kern w:val="0"/>
          <w:sz w:val="24"/>
        </w:rPr>
        <w:t>0.5%</w:t>
      </w:r>
      <w:r>
        <w:rPr>
          <w:rFonts w:cs="宋体" w:hint="eastAsia"/>
          <w:color w:val="000000"/>
          <w:kern w:val="0"/>
          <w:sz w:val="24"/>
        </w:rPr>
        <w:t>以内。当负偏离度绝对值达到</w:t>
      </w:r>
      <w:r>
        <w:rPr>
          <w:rFonts w:cs="宋体" w:hint="eastAsia"/>
          <w:color w:val="000000"/>
          <w:kern w:val="0"/>
          <w:sz w:val="24"/>
        </w:rPr>
        <w:t>0.5%</w:t>
      </w:r>
      <w:r>
        <w:rPr>
          <w:rFonts w:cs="宋体" w:hint="eastAsia"/>
          <w:color w:val="000000"/>
          <w:kern w:val="0"/>
          <w:sz w:val="24"/>
        </w:rPr>
        <w:t>时，基金管理人应当使用风险准备金或者固有资金弥补潜在资产损失，将负偏离度绝对值控制在</w:t>
      </w:r>
      <w:r>
        <w:rPr>
          <w:rFonts w:cs="宋体" w:hint="eastAsia"/>
          <w:color w:val="000000"/>
          <w:kern w:val="0"/>
          <w:sz w:val="24"/>
        </w:rPr>
        <w:t>0.5%</w:t>
      </w:r>
      <w:r>
        <w:rPr>
          <w:rFonts w:cs="宋体" w:hint="eastAsia"/>
          <w:color w:val="000000"/>
          <w:kern w:val="0"/>
          <w:sz w:val="24"/>
        </w:rPr>
        <w:t>以内。当负偏离度绝对值连续两个交易日超过</w:t>
      </w:r>
      <w:r>
        <w:rPr>
          <w:rFonts w:cs="宋体" w:hint="eastAsia"/>
          <w:color w:val="000000"/>
          <w:kern w:val="0"/>
          <w:sz w:val="24"/>
        </w:rPr>
        <w:t>0.5%</w:t>
      </w:r>
      <w:r>
        <w:rPr>
          <w:rFonts w:cs="宋体" w:hint="eastAsia"/>
          <w:color w:val="000000"/>
          <w:kern w:val="0"/>
          <w:sz w:val="24"/>
        </w:rPr>
        <w:t>时，基金管理人应当采用公允价值估值方法对持有投资组合的账面价值进行调整，或者采取暂停接受所有赎回申请并终止基金合同进行财产清算等措施。</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3</w:t>
      </w:r>
      <w:r>
        <w:rPr>
          <w:rFonts w:cs="宋体"/>
          <w:color w:val="000000"/>
          <w:kern w:val="0"/>
          <w:sz w:val="24"/>
        </w:rPr>
        <w:t>、如有确凿证据表明按上述方法进行估值不能客观反映其公允价值的，基金管理人可根据具体情况与基金托管人商定后，按最能反映公允价值的价格估值。</w:t>
      </w:r>
    </w:p>
    <w:p w:rsidR="00F8626C" w:rsidRDefault="00C0614F">
      <w:pPr>
        <w:widowControl/>
        <w:adjustRightInd w:val="0"/>
        <w:spacing w:line="360" w:lineRule="auto"/>
        <w:ind w:firstLineChars="200" w:firstLine="480"/>
        <w:jc w:val="left"/>
        <w:rPr>
          <w:rFonts w:cs="宋体"/>
          <w:color w:val="000000"/>
          <w:kern w:val="0"/>
          <w:sz w:val="24"/>
        </w:rPr>
      </w:pPr>
      <w:r>
        <w:rPr>
          <w:rFonts w:cs="宋体" w:hint="eastAsia"/>
          <w:color w:val="000000"/>
          <w:kern w:val="0"/>
          <w:sz w:val="24"/>
        </w:rPr>
        <w:t>4</w:t>
      </w:r>
      <w:r>
        <w:rPr>
          <w:rFonts w:cs="宋体" w:hint="eastAsia"/>
          <w:color w:val="000000"/>
          <w:kern w:val="0"/>
          <w:sz w:val="24"/>
        </w:rPr>
        <w:t>、相关法律法规以及监管部门有强制规定的，从其规定。如有新增事项，按国家最新规定估值。</w:t>
      </w:r>
    </w:p>
    <w:p w:rsidR="00F8626C" w:rsidRDefault="00C0614F">
      <w:pPr>
        <w:snapToGrid w:val="0"/>
        <w:spacing w:line="360" w:lineRule="auto"/>
        <w:ind w:firstLineChars="200" w:firstLine="420"/>
        <w:rPr>
          <w:rFonts w:ascii="宋体" w:hAnsi="宋体"/>
          <w:szCs w:val="21"/>
        </w:rPr>
      </w:pPr>
      <w:bookmarkStart w:id="77" w:name="_Toc171406913"/>
      <w:bookmarkStart w:id="78" w:name="_Toc171425161"/>
      <w:bookmarkStart w:id="79" w:name="_Toc22454458"/>
      <w:r>
        <w:rPr>
          <w:rFonts w:ascii="宋体" w:hAnsi="宋体" w:hint="eastAsia"/>
          <w:szCs w:val="21"/>
        </w:rPr>
        <w:t>（三）估值差错处理</w:t>
      </w:r>
      <w:bookmarkEnd w:id="77"/>
      <w:bookmarkEnd w:id="78"/>
      <w:bookmarkEnd w:id="79"/>
    </w:p>
    <w:p w:rsidR="00F8626C" w:rsidRDefault="00C0614F">
      <w:pPr>
        <w:widowControl/>
        <w:adjustRightInd w:val="0"/>
        <w:spacing w:line="360" w:lineRule="auto"/>
        <w:ind w:firstLineChars="200" w:firstLine="480"/>
        <w:jc w:val="left"/>
        <w:rPr>
          <w:rFonts w:cs="宋体"/>
          <w:color w:val="000000"/>
          <w:kern w:val="0"/>
          <w:sz w:val="24"/>
        </w:rPr>
      </w:pPr>
      <w:bookmarkStart w:id="80" w:name="_Toc22454459"/>
      <w:bookmarkStart w:id="81" w:name="_Toc171406914"/>
      <w:bookmarkStart w:id="82" w:name="_Toc48703910"/>
      <w:bookmarkStart w:id="83" w:name="_Toc171425162"/>
      <w:r>
        <w:rPr>
          <w:rFonts w:cs="宋体" w:hint="eastAsia"/>
          <w:color w:val="000000"/>
          <w:kern w:val="0"/>
          <w:sz w:val="24"/>
        </w:rPr>
        <w:t>当基金计价出现错误时，基金管理人应当立即公告、予以纠正，并采取合理的措施防止损失进一步扩大；计价错误偏差达到基金资产净值的</w:t>
      </w:r>
      <w:r>
        <w:rPr>
          <w:rFonts w:cs="宋体"/>
          <w:color w:val="000000"/>
          <w:kern w:val="0"/>
          <w:sz w:val="24"/>
        </w:rPr>
        <w:t>0.</w:t>
      </w:r>
      <w:r>
        <w:rPr>
          <w:rFonts w:cs="宋体" w:hint="eastAsia"/>
          <w:color w:val="000000"/>
          <w:kern w:val="0"/>
          <w:sz w:val="24"/>
        </w:rPr>
        <w:t>25</w:t>
      </w:r>
      <w:r>
        <w:rPr>
          <w:rFonts w:cs="宋体"/>
          <w:color w:val="000000"/>
          <w:kern w:val="0"/>
          <w:sz w:val="24"/>
        </w:rPr>
        <w:t>%</w:t>
      </w:r>
      <w:r>
        <w:rPr>
          <w:rFonts w:cs="宋体" w:hint="eastAsia"/>
          <w:color w:val="000000"/>
          <w:kern w:val="0"/>
          <w:sz w:val="24"/>
        </w:rPr>
        <w:t>时，基金管理人应当报中国证监会备案。计价错误偏差达到基金资产净值的</w:t>
      </w:r>
      <w:r>
        <w:rPr>
          <w:rFonts w:cs="宋体"/>
          <w:color w:val="000000"/>
          <w:kern w:val="0"/>
          <w:sz w:val="24"/>
        </w:rPr>
        <w:t>0.5%</w:t>
      </w:r>
      <w:r>
        <w:rPr>
          <w:rFonts w:cs="宋体" w:hint="eastAsia"/>
          <w:color w:val="000000"/>
          <w:kern w:val="0"/>
          <w:sz w:val="24"/>
        </w:rPr>
        <w:t>时，基金管理人应当通报基金托管人并报中国证监会备案。</w:t>
      </w:r>
    </w:p>
    <w:p w:rsidR="00F8626C" w:rsidRDefault="00C0614F">
      <w:pPr>
        <w:spacing w:line="360" w:lineRule="auto"/>
        <w:ind w:firstLine="420"/>
        <w:rPr>
          <w:rFonts w:ascii="宋体" w:hAnsi="宋体"/>
          <w:color w:val="000000"/>
        </w:rPr>
      </w:pPr>
      <w:r>
        <w:rPr>
          <w:rFonts w:cs="宋体" w:hint="eastAsia"/>
          <w:color w:val="000000"/>
          <w:kern w:val="0"/>
          <w:sz w:val="24"/>
        </w:rPr>
        <w:t>因基金计价错误给投资者造成损失的应先由基金管理人承担，基金管理人对不应由其承担的责任，有权根据过错原则向过错人追偿，本契约的当事人应将按照以下约定处理：</w:t>
      </w:r>
    </w:p>
    <w:p w:rsidR="00F8626C" w:rsidRDefault="00C0614F">
      <w:pPr>
        <w:spacing w:line="360" w:lineRule="auto"/>
        <w:ind w:firstLine="420"/>
        <w:rPr>
          <w:rFonts w:ascii="宋体" w:hAnsi="宋体"/>
          <w:color w:val="000000"/>
        </w:rPr>
      </w:pPr>
      <w:r>
        <w:rPr>
          <w:rFonts w:ascii="宋体" w:hAnsi="宋体"/>
          <w:color w:val="000000"/>
        </w:rPr>
        <w:t>1</w:t>
      </w:r>
      <w:r>
        <w:rPr>
          <w:rFonts w:ascii="宋体" w:hAnsi="宋体" w:hint="eastAsia"/>
          <w:color w:val="000000"/>
        </w:rPr>
        <w:t>、差错类型</w:t>
      </w:r>
    </w:p>
    <w:p w:rsidR="00F8626C" w:rsidRDefault="00C0614F">
      <w:pPr>
        <w:spacing w:line="360" w:lineRule="auto"/>
        <w:ind w:firstLine="420"/>
        <w:rPr>
          <w:rFonts w:ascii="宋体" w:hAnsi="宋体"/>
          <w:color w:val="000000"/>
        </w:rPr>
      </w:pPr>
      <w:r>
        <w:rPr>
          <w:rFonts w:ascii="宋体" w:hAnsi="宋体" w:hint="eastAsia"/>
          <w:color w:val="000000"/>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F8626C" w:rsidRDefault="00C0614F">
      <w:pPr>
        <w:spacing w:line="360" w:lineRule="auto"/>
        <w:ind w:firstLine="420"/>
        <w:rPr>
          <w:rFonts w:ascii="宋体" w:hAnsi="宋体"/>
          <w:color w:val="000000"/>
        </w:rPr>
      </w:pPr>
      <w:r>
        <w:rPr>
          <w:rFonts w:ascii="宋体" w:hAnsi="宋体" w:hint="eastAsia"/>
          <w:color w:val="000000"/>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F8626C" w:rsidRDefault="00C0614F">
      <w:pPr>
        <w:spacing w:line="360" w:lineRule="auto"/>
        <w:ind w:firstLine="420"/>
        <w:rPr>
          <w:rFonts w:ascii="宋体" w:hAnsi="宋体"/>
          <w:color w:val="000000"/>
        </w:rPr>
      </w:pPr>
      <w:r>
        <w:rPr>
          <w:rFonts w:ascii="宋体" w:hAnsi="宋体" w:hint="eastAsia"/>
          <w:color w:val="000000"/>
        </w:rPr>
        <w:t>由于不可抗力原因造成投资者的交易资料灭失或被错误处理或造成其他差错，因不可抗力原因出现差错的当事人不对其他当事人承担赔偿责任，但因该差错取得不当得利的当事人</w:t>
      </w:r>
      <w:r>
        <w:rPr>
          <w:rFonts w:ascii="宋体" w:hAnsi="宋体" w:hint="eastAsia"/>
          <w:color w:val="000000"/>
        </w:rPr>
        <w:lastRenderedPageBreak/>
        <w:t>仍应负有返还不当得利的义务。</w:t>
      </w:r>
    </w:p>
    <w:p w:rsidR="00F8626C" w:rsidRDefault="00C0614F">
      <w:pPr>
        <w:spacing w:line="360" w:lineRule="auto"/>
        <w:ind w:firstLine="420"/>
        <w:rPr>
          <w:rFonts w:ascii="宋体" w:hAnsi="宋体"/>
          <w:color w:val="000000"/>
        </w:rPr>
      </w:pPr>
      <w:r>
        <w:rPr>
          <w:rFonts w:ascii="宋体" w:hAnsi="宋体"/>
          <w:color w:val="000000"/>
        </w:rPr>
        <w:t>2</w:t>
      </w:r>
      <w:r>
        <w:rPr>
          <w:rFonts w:ascii="宋体" w:hAnsi="宋体" w:hint="eastAsia"/>
          <w:color w:val="000000"/>
        </w:rPr>
        <w:t>、差错处理原则</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）差错的责任方对可能导致有关当事人的直接损失负责，不对间接损失负责，并且仅对差错的有关直接当事人负责，不对第三方负责。</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4</w:t>
      </w:r>
      <w:r>
        <w:rPr>
          <w:rFonts w:ascii="宋体" w:hAnsi="宋体" w:hint="eastAsia"/>
          <w:color w:val="000000"/>
        </w:rPr>
        <w:t>）差错调整采用尽量恢复至假设未发生差错的正确情形的方式。</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5</w:t>
      </w:r>
      <w:r>
        <w:rPr>
          <w:rFonts w:ascii="宋体" w:hAnsi="宋体" w:hint="eastAsia"/>
          <w:color w:val="000000"/>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6</w:t>
      </w:r>
      <w:r>
        <w:rPr>
          <w:rFonts w:ascii="宋体" w:hAnsi="宋体" w:hint="eastAsia"/>
          <w:color w:val="000000"/>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7</w:t>
      </w:r>
      <w:r>
        <w:rPr>
          <w:rFonts w:ascii="宋体" w:hAnsi="宋体" w:hint="eastAsia"/>
          <w:color w:val="000000"/>
        </w:rPr>
        <w:t>）按法律法规规定的其他原则处理差错。</w:t>
      </w:r>
    </w:p>
    <w:p w:rsidR="00F8626C" w:rsidRDefault="00C0614F">
      <w:pPr>
        <w:spacing w:line="360" w:lineRule="auto"/>
        <w:ind w:firstLine="420"/>
        <w:rPr>
          <w:rFonts w:ascii="宋体" w:hAnsi="宋体"/>
          <w:color w:val="000000"/>
        </w:rPr>
      </w:pPr>
      <w:r>
        <w:rPr>
          <w:rFonts w:ascii="宋体" w:hAnsi="宋体"/>
          <w:color w:val="000000"/>
        </w:rPr>
        <w:t>3</w:t>
      </w:r>
      <w:r>
        <w:rPr>
          <w:rFonts w:ascii="宋体" w:hAnsi="宋体" w:hint="eastAsia"/>
          <w:color w:val="000000"/>
        </w:rPr>
        <w:t>、差错处理程序</w:t>
      </w:r>
    </w:p>
    <w:p w:rsidR="00F8626C" w:rsidRDefault="00C0614F">
      <w:pPr>
        <w:spacing w:line="360" w:lineRule="auto"/>
        <w:ind w:firstLine="420"/>
        <w:rPr>
          <w:rFonts w:ascii="宋体" w:hAnsi="宋体"/>
          <w:color w:val="000000"/>
        </w:rPr>
      </w:pPr>
      <w:r>
        <w:rPr>
          <w:rFonts w:ascii="宋体" w:hAnsi="宋体" w:hint="eastAsia"/>
          <w:color w:val="000000"/>
        </w:rPr>
        <w:t>差错被发现后，有关的当事人应当及时进行处理，处理的程序如下：</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）查明差错发生的原因，列明所有的当事人，并根据差错发生的原因确定差错的责任方；</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）根据差错处理原则或当事人协商的方法对因差错造成的损失进行评估；</w:t>
      </w:r>
    </w:p>
    <w:p w:rsidR="00F8626C" w:rsidRDefault="00C0614F">
      <w:pPr>
        <w:spacing w:line="360" w:lineRule="auto"/>
        <w:ind w:firstLine="420"/>
        <w:rPr>
          <w:rFonts w:ascii="宋体" w:hAnsi="宋体"/>
          <w:color w:val="000000"/>
        </w:rPr>
      </w:pPr>
      <w:r>
        <w:rPr>
          <w:rFonts w:ascii="宋体" w:hAnsi="宋体" w:hint="eastAsia"/>
          <w:color w:val="000000"/>
        </w:rPr>
        <w:lastRenderedPageBreak/>
        <w:t>（</w:t>
      </w:r>
      <w:r>
        <w:rPr>
          <w:rFonts w:ascii="宋体" w:hAnsi="宋体"/>
          <w:color w:val="000000"/>
        </w:rPr>
        <w:t>3</w:t>
      </w:r>
      <w:r>
        <w:rPr>
          <w:rFonts w:ascii="宋体" w:hAnsi="宋体" w:hint="eastAsia"/>
          <w:color w:val="000000"/>
        </w:rPr>
        <w:t>）根据差错处理原则或当事人协商的方法由差错的责任方进行更正和赔偿损失；</w:t>
      </w:r>
    </w:p>
    <w:p w:rsidR="00F8626C" w:rsidRDefault="00C0614F">
      <w:pPr>
        <w:spacing w:line="360" w:lineRule="auto"/>
        <w:ind w:firstLine="420"/>
        <w:rPr>
          <w:rFonts w:ascii="宋体" w:hAnsi="宋体"/>
          <w:color w:val="000000"/>
        </w:rPr>
      </w:pPr>
      <w:r>
        <w:rPr>
          <w:rFonts w:ascii="宋体" w:hAnsi="宋体" w:hint="eastAsia"/>
          <w:color w:val="000000"/>
        </w:rPr>
        <w:t>（</w:t>
      </w:r>
      <w:r>
        <w:rPr>
          <w:rFonts w:ascii="宋体" w:hAnsi="宋体"/>
          <w:color w:val="000000"/>
        </w:rPr>
        <w:t>4</w:t>
      </w:r>
      <w:r>
        <w:rPr>
          <w:rFonts w:ascii="宋体" w:hAnsi="宋体" w:hint="eastAsia"/>
          <w:color w:val="000000"/>
        </w:rPr>
        <w:t>）根据差错处理的方法，需要修改基金注册登记机构的交易数据的，由基金注册登记机构进行更正，并就差错的更正向有关当事人进行确认；</w:t>
      </w:r>
    </w:p>
    <w:p w:rsidR="00F8626C" w:rsidRDefault="00C0614F">
      <w:pPr>
        <w:snapToGrid w:val="0"/>
        <w:spacing w:line="360" w:lineRule="auto"/>
        <w:ind w:firstLineChars="200" w:firstLine="420"/>
        <w:rPr>
          <w:rFonts w:ascii="宋体" w:hAnsi="宋体"/>
          <w:color w:val="000000"/>
        </w:rPr>
      </w:pPr>
      <w:r>
        <w:rPr>
          <w:rFonts w:ascii="宋体" w:hAnsi="宋体" w:hint="eastAsia"/>
          <w:color w:val="000000"/>
        </w:rPr>
        <w:t>（</w:t>
      </w:r>
      <w:r>
        <w:rPr>
          <w:rFonts w:ascii="宋体" w:hAnsi="宋体"/>
          <w:color w:val="000000"/>
        </w:rPr>
        <w:t>5</w:t>
      </w:r>
      <w:r>
        <w:rPr>
          <w:rFonts w:ascii="宋体" w:hAnsi="宋体" w:hint="eastAsia"/>
          <w:color w:val="000000"/>
        </w:rPr>
        <w:t>）基金管理人及基金托管人基金份额净值计算错误偏差达到基金份额净值的</w:t>
      </w:r>
      <w:r>
        <w:rPr>
          <w:rFonts w:ascii="宋体" w:hAnsi="宋体"/>
          <w:color w:val="000000"/>
        </w:rPr>
        <w:t>0.</w:t>
      </w:r>
      <w:r>
        <w:rPr>
          <w:rFonts w:ascii="宋体" w:hAnsi="宋体" w:hint="eastAsia"/>
          <w:color w:val="000000"/>
        </w:rPr>
        <w:t>2</w:t>
      </w:r>
      <w:r>
        <w:rPr>
          <w:rFonts w:ascii="宋体" w:hAnsi="宋体"/>
          <w:color w:val="000000"/>
        </w:rPr>
        <w:t>5%</w:t>
      </w:r>
      <w:r>
        <w:rPr>
          <w:rFonts w:ascii="宋体" w:hAnsi="宋体" w:hint="eastAsia"/>
          <w:color w:val="000000"/>
        </w:rPr>
        <w:t>时，基金管理人应当报告中国证监会；基金管理人及基金托管人基金份额净值计算错误偏差达到基金份额净值的</w:t>
      </w:r>
      <w:r>
        <w:rPr>
          <w:rFonts w:ascii="宋体" w:hAnsi="宋体"/>
          <w:color w:val="000000"/>
        </w:rPr>
        <w:t>0.5%</w:t>
      </w:r>
      <w:r>
        <w:rPr>
          <w:rFonts w:ascii="宋体" w:hAnsi="宋体" w:hint="eastAsia"/>
          <w:color w:val="000000"/>
        </w:rPr>
        <w:t>时，基金管理人应当公告并报中国证监会备案。</w:t>
      </w:r>
    </w:p>
    <w:p w:rsidR="00F8626C" w:rsidRDefault="00C0614F">
      <w:pPr>
        <w:snapToGrid w:val="0"/>
        <w:spacing w:line="360" w:lineRule="auto"/>
        <w:ind w:firstLineChars="200" w:firstLine="420"/>
        <w:rPr>
          <w:rFonts w:ascii="宋体" w:hAnsi="宋体"/>
          <w:szCs w:val="21"/>
        </w:rPr>
      </w:pPr>
      <w:r>
        <w:rPr>
          <w:rFonts w:ascii="宋体" w:hAnsi="宋体" w:hint="eastAsia"/>
          <w:szCs w:val="21"/>
        </w:rPr>
        <w:t>（四）基金账册的建立</w:t>
      </w:r>
      <w:bookmarkEnd w:id="80"/>
      <w:bookmarkEnd w:id="81"/>
      <w:bookmarkEnd w:id="82"/>
      <w:bookmarkEnd w:id="83"/>
    </w:p>
    <w:p w:rsidR="00F8626C" w:rsidRDefault="00C0614F">
      <w:pPr>
        <w:snapToGrid w:val="0"/>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F8626C" w:rsidRDefault="00C0614F">
      <w:pPr>
        <w:snapToGrid w:val="0"/>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F8626C" w:rsidRDefault="00C0614F">
      <w:pPr>
        <w:snapToGrid w:val="0"/>
        <w:spacing w:line="360" w:lineRule="auto"/>
        <w:ind w:firstLineChars="200" w:firstLine="420"/>
        <w:rPr>
          <w:rFonts w:ascii="宋体" w:hAnsi="宋体"/>
          <w:szCs w:val="21"/>
        </w:rPr>
      </w:pPr>
      <w:bookmarkStart w:id="84" w:name="_Toc48703911"/>
      <w:bookmarkStart w:id="85" w:name="_Toc171406915"/>
      <w:bookmarkStart w:id="86" w:name="_Toc171425163"/>
      <w:bookmarkStart w:id="87" w:name="_Toc22454460"/>
      <w:r>
        <w:rPr>
          <w:rFonts w:ascii="宋体" w:hAnsi="宋体" w:hint="eastAsia"/>
          <w:szCs w:val="21"/>
        </w:rPr>
        <w:t>（五）基金定期报告的编制和复核</w:t>
      </w:r>
      <w:bookmarkEnd w:id="84"/>
      <w:bookmarkEnd w:id="85"/>
      <w:bookmarkEnd w:id="86"/>
      <w:bookmarkEnd w:id="87"/>
    </w:p>
    <w:p w:rsidR="00F8626C" w:rsidRDefault="00C0614F">
      <w:pPr>
        <w:snapToGrid w:val="0"/>
        <w:spacing w:line="360" w:lineRule="auto"/>
        <w:ind w:firstLineChars="200" w:firstLine="420"/>
        <w:rPr>
          <w:rFonts w:ascii="宋体" w:hAnsi="宋体"/>
          <w:szCs w:val="21"/>
        </w:rPr>
      </w:pPr>
      <w:r>
        <w:rPr>
          <w:rFonts w:ascii="宋体" w:hAnsi="宋体" w:hint="eastAsia"/>
          <w:szCs w:val="21"/>
        </w:rPr>
        <w:t>基金财务报表由基金管理人和基金托管人每月分别独立编制。月度报表的编制，应于每月终了后</w:t>
      </w:r>
      <w:r>
        <w:rPr>
          <w:rFonts w:ascii="宋体" w:hAnsi="宋体"/>
          <w:szCs w:val="21"/>
        </w:rPr>
        <w:t>5</w:t>
      </w:r>
      <w:r>
        <w:rPr>
          <w:rFonts w:ascii="宋体" w:hAnsi="宋体" w:hint="eastAsia"/>
          <w:szCs w:val="21"/>
        </w:rPr>
        <w:t>个工作日内完成。</w:t>
      </w:r>
    </w:p>
    <w:p w:rsidR="00F8626C" w:rsidRDefault="00C0614F">
      <w:pPr>
        <w:snapToGrid w:val="0"/>
        <w:spacing w:line="360" w:lineRule="auto"/>
        <w:ind w:firstLineChars="200" w:firstLine="420"/>
        <w:rPr>
          <w:rFonts w:ascii="宋体" w:hAnsi="宋体"/>
          <w:szCs w:val="21"/>
        </w:rPr>
      </w:pPr>
      <w:r>
        <w:rPr>
          <w:rFonts w:ascii="宋体" w:hAnsi="宋体" w:hint="eastAsia"/>
          <w:szCs w:val="21"/>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F8626C" w:rsidRDefault="00C0614F">
      <w:pPr>
        <w:snapToGrid w:val="0"/>
        <w:spacing w:line="360" w:lineRule="auto"/>
        <w:ind w:firstLineChars="200" w:firstLine="420"/>
        <w:rPr>
          <w:rFonts w:ascii="宋体" w:hAnsi="宋体"/>
          <w:szCs w:val="21"/>
        </w:rPr>
      </w:pPr>
      <w:r>
        <w:rPr>
          <w:rFonts w:ascii="宋体" w:hAnsi="宋体" w:hint="eastAsia"/>
          <w:szCs w:val="21"/>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F8626C" w:rsidRDefault="00C0614F">
      <w:pPr>
        <w:snapToGrid w:val="0"/>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F8626C" w:rsidRDefault="00C0614F">
      <w:pPr>
        <w:snapToGrid w:val="0"/>
        <w:spacing w:line="360" w:lineRule="auto"/>
        <w:ind w:firstLineChars="200" w:firstLine="420"/>
        <w:rPr>
          <w:rFonts w:ascii="宋体" w:hAnsi="宋体"/>
          <w:szCs w:val="21"/>
        </w:rPr>
      </w:pPr>
      <w:r>
        <w:rPr>
          <w:rFonts w:ascii="宋体" w:hAnsi="宋体" w:hint="eastAsia"/>
          <w:szCs w:val="21"/>
        </w:rPr>
        <w:lastRenderedPageBreak/>
        <w:t>基金托管人在对财务会计报告、半年报告或年度报告复核完毕后，需盖章确认或出具相应的复核确认书，以备有权机构对相关文件审核时提示。</w:t>
      </w:r>
    </w:p>
    <w:p w:rsidR="00F8626C" w:rsidRDefault="00C0614F">
      <w:pPr>
        <w:snapToGrid w:val="0"/>
        <w:spacing w:line="360" w:lineRule="auto"/>
        <w:ind w:firstLineChars="200" w:firstLine="420"/>
        <w:rPr>
          <w:rFonts w:ascii="宋体" w:hAnsi="宋体"/>
          <w:szCs w:val="21"/>
        </w:rPr>
      </w:pPr>
      <w:r>
        <w:rPr>
          <w:rFonts w:ascii="宋体" w:hAnsi="宋体" w:hint="eastAsia"/>
          <w:szCs w:val="21"/>
        </w:rPr>
        <w:t>基金定期报告应当在公开披露的第2个工作日，分别报中国证监会和基金管理人主要办公场所所在地中国证监会派出机构备案。</w:t>
      </w:r>
    </w:p>
    <w:p w:rsidR="00F8626C" w:rsidRDefault="00C0614F">
      <w:pPr>
        <w:snapToGrid w:val="0"/>
        <w:spacing w:line="360" w:lineRule="auto"/>
        <w:ind w:firstLineChars="200" w:firstLine="420"/>
        <w:rPr>
          <w:rFonts w:ascii="宋体" w:hAnsi="宋体"/>
          <w:szCs w:val="21"/>
        </w:rPr>
      </w:pPr>
      <w:r>
        <w:rPr>
          <w:rFonts w:ascii="宋体" w:hAnsi="宋体"/>
          <w:szCs w:val="21"/>
        </w:rPr>
        <w:br w:type="page"/>
      </w:r>
    </w:p>
    <w:p w:rsidR="00F8626C" w:rsidRDefault="00F8626C">
      <w:pPr>
        <w:spacing w:line="360" w:lineRule="auto"/>
        <w:ind w:firstLineChars="200" w:firstLine="420"/>
        <w:rPr>
          <w:rFonts w:ascii="宋体" w:hAnsi="宋体"/>
        </w:rPr>
      </w:pPr>
    </w:p>
    <w:p w:rsidR="00F8626C" w:rsidRDefault="00C0614F">
      <w:pPr>
        <w:pStyle w:val="20"/>
        <w:numPr>
          <w:ilvl w:val="1"/>
          <w:numId w:val="1"/>
        </w:numPr>
        <w:spacing w:before="0" w:after="0" w:line="360" w:lineRule="auto"/>
      </w:pPr>
      <w:bookmarkStart w:id="88" w:name="_Toc9047563"/>
      <w:bookmarkStart w:id="89" w:name="_Toc10604967"/>
      <w:bookmarkStart w:id="90" w:name="_Toc55643139"/>
      <w:bookmarkStart w:id="91" w:name="_Toc9047762"/>
      <w:bookmarkStart w:id="92" w:name="_Toc15987779"/>
      <w:bookmarkStart w:id="93" w:name="_Toc9047419"/>
      <w:bookmarkStart w:id="94" w:name="_Toc64174184"/>
      <w:bookmarkStart w:id="95" w:name="_Toc64174265"/>
      <w:bookmarkStart w:id="96" w:name="_Toc61983340"/>
      <w:r>
        <w:rPr>
          <w:rFonts w:hint="eastAsia"/>
        </w:rPr>
        <w:t>基金收益分配</w:t>
      </w:r>
      <w:bookmarkEnd w:id="76"/>
      <w:bookmarkEnd w:id="88"/>
      <w:bookmarkEnd w:id="89"/>
      <w:bookmarkEnd w:id="90"/>
      <w:bookmarkEnd w:id="91"/>
      <w:bookmarkEnd w:id="92"/>
      <w:bookmarkEnd w:id="93"/>
      <w:bookmarkEnd w:id="94"/>
      <w:bookmarkEnd w:id="95"/>
      <w:bookmarkEnd w:id="96"/>
    </w:p>
    <w:p w:rsidR="00F8626C" w:rsidRDefault="00C0614F">
      <w:pPr>
        <w:spacing w:line="360" w:lineRule="auto"/>
        <w:ind w:firstLineChars="200" w:firstLine="420"/>
        <w:rPr>
          <w:rFonts w:ascii="宋体" w:hAnsi="宋体"/>
        </w:rPr>
      </w:pPr>
      <w:bookmarkStart w:id="97" w:name="_Toc9047420"/>
      <w:bookmarkStart w:id="98" w:name="_Toc414949341"/>
      <w:bookmarkStart w:id="99" w:name="_Toc55643140"/>
      <w:bookmarkStart w:id="100" w:name="_Toc15987780"/>
      <w:bookmarkStart w:id="101" w:name="_Toc10604968"/>
      <w:bookmarkStart w:id="102" w:name="_Toc9047763"/>
      <w:bookmarkStart w:id="103" w:name="_Toc9047564"/>
      <w:r>
        <w:rPr>
          <w:rFonts w:ascii="宋体" w:hAnsi="宋体" w:hint="eastAsia"/>
        </w:rPr>
        <w:t>（一）基金收益分配的依据</w:t>
      </w:r>
    </w:p>
    <w:p w:rsidR="00F8626C" w:rsidRDefault="00C0614F">
      <w:pPr>
        <w:spacing w:line="360" w:lineRule="auto"/>
        <w:ind w:firstLineChars="200" w:firstLine="420"/>
        <w:rPr>
          <w:rFonts w:ascii="宋体" w:hAnsi="宋体"/>
        </w:rPr>
      </w:pPr>
      <w:r>
        <w:rPr>
          <w:rFonts w:ascii="宋体" w:hAnsi="宋体" w:hint="eastAsia"/>
        </w:rPr>
        <w:t>基金收益分配，是指将本基金的净收益根据持有基金份额的数量比例向基金持有人进行分配。基金净收益是基金收益扣除按国家有关规定可以在基金收益中提取的费用后得出的余额。</w:t>
      </w:r>
      <w:r>
        <w:rPr>
          <w:rFonts w:ascii="宋体" w:hint="eastAsia"/>
        </w:rPr>
        <w:t>收益分配应该符合《南方现金增利基金基金合同》中收益分配原则的规定。</w:t>
      </w:r>
    </w:p>
    <w:p w:rsidR="00F8626C" w:rsidRDefault="00C0614F">
      <w:pPr>
        <w:spacing w:line="360" w:lineRule="auto"/>
        <w:ind w:firstLine="420"/>
        <w:rPr>
          <w:rFonts w:ascii="宋体"/>
        </w:rPr>
      </w:pPr>
      <w:r>
        <w:rPr>
          <w:rFonts w:ascii="宋体" w:hAnsi="宋体" w:hint="eastAsia"/>
        </w:rPr>
        <w:t>本基金收益分配的具体</w:t>
      </w:r>
      <w:r>
        <w:rPr>
          <w:rFonts w:ascii="宋体" w:hint="eastAsia"/>
        </w:rPr>
        <w:t>规定如下：</w:t>
      </w:r>
    </w:p>
    <w:p w:rsidR="00F8626C" w:rsidRDefault="00C0614F">
      <w:pPr>
        <w:spacing w:line="360" w:lineRule="auto"/>
        <w:ind w:firstLine="420"/>
        <w:rPr>
          <w:rFonts w:ascii="宋体"/>
        </w:rPr>
      </w:pPr>
      <w:r>
        <w:rPr>
          <w:rFonts w:ascii="宋体" w:hint="eastAsia"/>
        </w:rPr>
        <w:t>1．本基金收益根据每日基金收益公告，以每万份基金份额收益为基准，为投资者每日计算当日收益并分配，每月集中支付收益。投资者当日收益</w:t>
      </w:r>
      <w:r>
        <w:rPr>
          <w:rFonts w:ascii="宋体" w:hAnsi="宋体" w:hint="eastAsia"/>
        </w:rPr>
        <w:t>的精度为0.01元，第三位采用去尾的方式。因去尾形成的余额进行再次分配。</w:t>
      </w:r>
    </w:p>
    <w:p w:rsidR="00F8626C" w:rsidRDefault="00C0614F">
      <w:pPr>
        <w:spacing w:line="360" w:lineRule="auto"/>
        <w:ind w:firstLine="420"/>
        <w:rPr>
          <w:rFonts w:ascii="宋体"/>
        </w:rPr>
      </w:pPr>
      <w:r>
        <w:rPr>
          <w:rFonts w:ascii="宋体" w:hint="eastAsia"/>
        </w:rPr>
        <w:t>2. 本基金根据每日收益情况，将当日收益（</w:t>
      </w:r>
      <w:r>
        <w:rPr>
          <w:rFonts w:ascii="宋体" w:hAnsi="宋体" w:hint="eastAsia"/>
        </w:rPr>
        <w:t>总资产-总负债-发行在外总份额）</w:t>
      </w:r>
      <w:r>
        <w:rPr>
          <w:rFonts w:ascii="宋体" w:hint="eastAsia"/>
        </w:rPr>
        <w:t>全部分配，若当日净收益大于零时，为投资者记正收益；若当日净收益小于零时，为投资者记负收益；若当日净收益等于零时，当日投资者不记收益。</w:t>
      </w:r>
    </w:p>
    <w:p w:rsidR="00F8626C" w:rsidRDefault="00C0614F">
      <w:pPr>
        <w:spacing w:line="360" w:lineRule="auto"/>
        <w:ind w:firstLine="420"/>
        <w:rPr>
          <w:rFonts w:ascii="宋体"/>
        </w:rPr>
      </w:pPr>
      <w:r>
        <w:rPr>
          <w:rFonts w:ascii="宋体" w:hint="eastAsia"/>
        </w:rPr>
        <w:t>3．本基金每日收益计算并分配时，以人民币元方式簿记，每月累计收益支付方式只采用红利再投资（即红利转基金份额）方式，投资者可通过赎回基金份额获得现金收益；若投资者在每月累计收益支付时，其累计收益恰好为负值，则将缩减投资者基金份额。若投资者全部赎回基金份额时，</w:t>
      </w:r>
      <w:r>
        <w:rPr>
          <w:rFonts w:ascii="宋体" w:hAnsi="宋体" w:cs="宋体" w:hint="eastAsia"/>
          <w:color w:val="000000"/>
          <w:kern w:val="0"/>
          <w:sz w:val="22"/>
          <w:szCs w:val="22"/>
        </w:rPr>
        <w:t>本基金A、B级份额</w:t>
      </w:r>
      <w:r>
        <w:rPr>
          <w:rFonts w:ascii="宋体" w:hint="eastAsia"/>
        </w:rPr>
        <w:t>收益将立即结清，若收益恰好为负值，则将从投资者赎回基金款中扣除，</w:t>
      </w:r>
      <w:r>
        <w:rPr>
          <w:rFonts w:ascii="宋体" w:hAnsi="宋体" w:cs="宋体" w:hint="eastAsia"/>
          <w:color w:val="000000"/>
          <w:kern w:val="0"/>
          <w:sz w:val="22"/>
          <w:szCs w:val="22"/>
        </w:rPr>
        <w:t>本基金其他份额等级的相关结算规则在招募说明书中列示</w:t>
      </w:r>
      <w:r>
        <w:rPr>
          <w:rFonts w:ascii="宋体" w:hint="eastAsia"/>
        </w:rPr>
        <w:t>。</w:t>
      </w:r>
    </w:p>
    <w:p w:rsidR="00F8626C" w:rsidRDefault="00C0614F">
      <w:pPr>
        <w:spacing w:line="360" w:lineRule="auto"/>
        <w:ind w:firstLine="420"/>
        <w:rPr>
          <w:rFonts w:ascii="宋体"/>
        </w:rPr>
      </w:pPr>
      <w:r>
        <w:rPr>
          <w:rFonts w:ascii="宋体" w:hint="eastAsia"/>
        </w:rPr>
        <w:t>4．</w:t>
      </w:r>
      <w:r>
        <w:rPr>
          <w:rFonts w:ascii="宋体"/>
        </w:rPr>
        <w:t>T</w:t>
      </w:r>
      <w:r>
        <w:rPr>
          <w:rFonts w:ascii="宋体" w:hint="eastAsia"/>
        </w:rPr>
        <w:t>日申购的基金份额不享有当日分红权益，赎回的基金份额享有当日分红权益。</w:t>
      </w:r>
    </w:p>
    <w:p w:rsidR="00F8626C" w:rsidRDefault="00C0614F">
      <w:pPr>
        <w:spacing w:line="360" w:lineRule="auto"/>
        <w:ind w:right="26" w:firstLine="420"/>
        <w:rPr>
          <w:rFonts w:ascii="宋体"/>
        </w:rPr>
      </w:pPr>
      <w:r>
        <w:rPr>
          <w:rFonts w:ascii="宋体" w:hint="eastAsia"/>
        </w:rPr>
        <w:t>5．本基金收益每月集中支付一次，成立不满一个月不支付。每一基金份额享有同等分配权。</w:t>
      </w:r>
    </w:p>
    <w:p w:rsidR="00F8626C" w:rsidRDefault="00C0614F">
      <w:pPr>
        <w:spacing w:line="360" w:lineRule="auto"/>
        <w:ind w:right="26" w:firstLine="420"/>
        <w:rPr>
          <w:rFonts w:ascii="宋体"/>
        </w:rPr>
      </w:pPr>
      <w:r>
        <w:rPr>
          <w:rFonts w:ascii="宋体" w:hint="eastAsia"/>
        </w:rPr>
        <w:t>6. 在不影响投资者利益情况下，基金管理人可酌情调整基金收益分配方式，此项调整不需要基金持有人大会决议通过。</w:t>
      </w:r>
    </w:p>
    <w:p w:rsidR="00F8626C" w:rsidRDefault="00C0614F">
      <w:pPr>
        <w:spacing w:line="360" w:lineRule="auto"/>
        <w:ind w:firstLineChars="200" w:firstLine="420"/>
        <w:rPr>
          <w:rFonts w:ascii="宋体" w:hAnsi="宋体"/>
        </w:rPr>
      </w:pPr>
      <w:r>
        <w:rPr>
          <w:rFonts w:ascii="宋体" w:hAnsi="宋体" w:hint="eastAsia"/>
        </w:rPr>
        <w:t>（二）基金收益分配的时间和程序</w:t>
      </w:r>
    </w:p>
    <w:p w:rsidR="00F8626C" w:rsidRDefault="00C0614F">
      <w:pPr>
        <w:spacing w:line="360" w:lineRule="auto"/>
        <w:ind w:firstLineChars="200" w:firstLine="420"/>
        <w:rPr>
          <w:rFonts w:ascii="宋体"/>
        </w:rPr>
      </w:pPr>
      <w:r>
        <w:rPr>
          <w:rFonts w:ascii="宋体" w:hint="eastAsia"/>
        </w:rPr>
        <w:t>1．本基金每日首先进行收益分配，再对当日的申购、赎回进行清算。若T日为权益登记日，则T日申购不分配当日收益，T日赎回分配当日收益。</w:t>
      </w:r>
      <w:r>
        <w:rPr>
          <w:rFonts w:ascii="宋体" w:hint="eastAsia"/>
        </w:rPr>
        <w:tab/>
      </w:r>
    </w:p>
    <w:p w:rsidR="00F8626C" w:rsidRDefault="00C0614F">
      <w:pPr>
        <w:spacing w:line="360" w:lineRule="auto"/>
        <w:ind w:firstLineChars="200" w:firstLine="420"/>
        <w:rPr>
          <w:rFonts w:ascii="宋体"/>
        </w:rPr>
      </w:pPr>
      <w:r>
        <w:rPr>
          <w:rFonts w:ascii="宋体" w:hint="eastAsia"/>
        </w:rPr>
        <w:t>2、投资者的收益每日累计、每月集中支付。在支付日，首先进行当日收益分配，再对当日的申购、赎回进行清算，最后进行收益支付。</w:t>
      </w:r>
    </w:p>
    <w:p w:rsidR="00F8626C" w:rsidRDefault="00C0614F">
      <w:pPr>
        <w:spacing w:line="360" w:lineRule="auto"/>
        <w:ind w:firstLineChars="200" w:firstLine="420"/>
        <w:rPr>
          <w:rFonts w:ascii="宋体"/>
        </w:rPr>
      </w:pPr>
      <w:r>
        <w:rPr>
          <w:rFonts w:ascii="宋体" w:hint="eastAsia"/>
        </w:rPr>
        <w:t>3、在投资者全部赎回基金份额时，未支付的收益立即结清。</w:t>
      </w:r>
      <w:r>
        <w:rPr>
          <w:rFonts w:ascii="宋体"/>
        </w:rPr>
        <w:br w:type="page"/>
      </w:r>
    </w:p>
    <w:p w:rsidR="00F8626C" w:rsidRDefault="00C0614F">
      <w:pPr>
        <w:pStyle w:val="20"/>
        <w:numPr>
          <w:ilvl w:val="1"/>
          <w:numId w:val="1"/>
        </w:numPr>
        <w:spacing w:before="0" w:after="0" w:line="360" w:lineRule="auto"/>
        <w:rPr>
          <w:spacing w:val="6"/>
        </w:rPr>
      </w:pPr>
      <w:bookmarkStart w:id="104" w:name="_Toc64174266"/>
      <w:bookmarkStart w:id="105" w:name="_Toc64174185"/>
      <w:bookmarkStart w:id="106" w:name="_Toc61983341"/>
      <w:r>
        <w:rPr>
          <w:rFonts w:hint="eastAsia"/>
        </w:rPr>
        <w:lastRenderedPageBreak/>
        <w:t>信息披露</w:t>
      </w:r>
      <w:bookmarkEnd w:id="97"/>
      <w:bookmarkEnd w:id="98"/>
      <w:bookmarkEnd w:id="99"/>
      <w:bookmarkEnd w:id="100"/>
      <w:bookmarkEnd w:id="101"/>
      <w:bookmarkEnd w:id="102"/>
      <w:bookmarkEnd w:id="103"/>
      <w:bookmarkEnd w:id="104"/>
      <w:bookmarkEnd w:id="105"/>
      <w:bookmarkEnd w:id="106"/>
    </w:p>
    <w:p w:rsidR="00F8626C" w:rsidRDefault="00C0614F">
      <w:pPr>
        <w:spacing w:line="360" w:lineRule="auto"/>
        <w:ind w:firstLineChars="200" w:firstLine="420"/>
        <w:rPr>
          <w:rFonts w:ascii="宋体" w:hAnsi="宋体"/>
        </w:rPr>
      </w:pPr>
      <w:r>
        <w:rPr>
          <w:rFonts w:ascii="宋体" w:hAnsi="宋体" w:hint="eastAsia"/>
        </w:rPr>
        <w:t>（一）保密义务</w:t>
      </w:r>
    </w:p>
    <w:p w:rsidR="00F8626C" w:rsidRDefault="00C0614F">
      <w:pPr>
        <w:spacing w:line="360" w:lineRule="auto"/>
        <w:ind w:firstLineChars="200" w:firstLine="420"/>
        <w:rPr>
          <w:rFonts w:ascii="宋体" w:hAnsi="宋体"/>
        </w:rPr>
      </w:pPr>
      <w:r>
        <w:rPr>
          <w:rFonts w:ascii="宋体" w:hAnsi="宋体" w:hint="eastAsia"/>
        </w:rPr>
        <w:t>按照《基金法》、《运作办法》、《基金合同》及中国证监会关于基金信息披露的规定进行披露以外，基金管理人和基金托管人对基金的有关信息均应恪守保密的义务。基金管理人和基金托管人对基金的任何信息，不得在其公开披露之前，先行对双方和基金持有人大会以外的任何机构、组织和个人泄露。</w:t>
      </w:r>
    </w:p>
    <w:p w:rsidR="00F8626C" w:rsidRDefault="00C0614F">
      <w:pPr>
        <w:spacing w:line="360" w:lineRule="auto"/>
        <w:ind w:firstLineChars="200" w:firstLine="420"/>
        <w:rPr>
          <w:rFonts w:ascii="宋体" w:hAnsi="宋体"/>
        </w:rPr>
      </w:pPr>
      <w:r>
        <w:rPr>
          <w:rFonts w:ascii="宋体" w:hAnsi="宋体" w:hint="eastAsia"/>
        </w:rPr>
        <w:t>（二）基金管理人和托管人在信息披露中的职责和信息披露程序</w:t>
      </w:r>
    </w:p>
    <w:p w:rsidR="00F8626C" w:rsidRDefault="00C0614F">
      <w:pPr>
        <w:spacing w:line="360" w:lineRule="auto"/>
        <w:ind w:firstLineChars="200" w:firstLine="420"/>
        <w:rPr>
          <w:rFonts w:ascii="宋体" w:hAnsi="宋体"/>
        </w:rPr>
      </w:pPr>
      <w:r>
        <w:rPr>
          <w:rFonts w:ascii="宋体" w:hAnsi="宋体" w:hint="eastAsia"/>
        </w:rPr>
        <w:t>本基金信息披露的所有文件，包括《基金合同》规定的定期报告、临时报告、及其他必要的公告文件，由基金管理人拟定，经基金托管人复核无误后，由基金管理人予以公布。</w:t>
      </w:r>
    </w:p>
    <w:p w:rsidR="00F8626C" w:rsidRDefault="00C0614F">
      <w:pPr>
        <w:spacing w:line="360" w:lineRule="auto"/>
        <w:ind w:firstLineChars="200" w:firstLine="420"/>
        <w:rPr>
          <w:rFonts w:ascii="宋体" w:hAnsi="宋体"/>
        </w:rPr>
      </w:pPr>
      <w:r>
        <w:rPr>
          <w:rFonts w:ascii="宋体" w:hAnsi="宋体" w:hint="eastAsia"/>
        </w:rPr>
        <w:t>基金年报，经有从事证券相关业务资格的会计师事务所审计后，方可披露。</w:t>
      </w:r>
    </w:p>
    <w:p w:rsidR="00F8626C" w:rsidRDefault="00C0614F">
      <w:pPr>
        <w:spacing w:line="360" w:lineRule="auto"/>
        <w:ind w:firstLineChars="200" w:firstLine="420"/>
        <w:rPr>
          <w:rFonts w:ascii="宋体" w:hAnsi="宋体"/>
        </w:rPr>
      </w:pPr>
      <w:r>
        <w:rPr>
          <w:rFonts w:ascii="宋体" w:hAnsi="宋体" w:hint="eastAsia"/>
        </w:rPr>
        <w:t>本基金信息披露的公告，必须在至少一种中国证监会指定的全国性报刊上发布；如基金管理人认为必要，还可以通过其他媒体发布，或直接通知基金投资人。</w:t>
      </w:r>
    </w:p>
    <w:p w:rsidR="00F8626C" w:rsidRDefault="00C0614F">
      <w:pPr>
        <w:spacing w:line="360" w:lineRule="auto"/>
        <w:ind w:firstLineChars="200" w:firstLine="420"/>
        <w:rPr>
          <w:rFonts w:ascii="宋体" w:hAnsi="宋体"/>
        </w:rPr>
      </w:pPr>
      <w:r>
        <w:rPr>
          <w:rFonts w:ascii="宋体" w:hAnsi="宋体"/>
        </w:rPr>
        <w:br w:type="page"/>
      </w:r>
    </w:p>
    <w:p w:rsidR="00F8626C" w:rsidRDefault="00C0614F">
      <w:pPr>
        <w:pStyle w:val="20"/>
        <w:numPr>
          <w:ilvl w:val="1"/>
          <w:numId w:val="1"/>
        </w:numPr>
        <w:spacing w:before="0" w:after="0" w:line="360" w:lineRule="auto"/>
      </w:pPr>
      <w:bookmarkStart w:id="107" w:name="_Toc9047565"/>
      <w:bookmarkStart w:id="108" w:name="_Toc9047421"/>
      <w:bookmarkStart w:id="109" w:name="_Toc10604969"/>
      <w:bookmarkStart w:id="110" w:name="_Toc9047764"/>
      <w:bookmarkStart w:id="111" w:name="_Toc15987781"/>
      <w:bookmarkStart w:id="112" w:name="_Toc55643141"/>
      <w:bookmarkStart w:id="113" w:name="_Toc64174267"/>
      <w:bookmarkStart w:id="114" w:name="_Toc61983342"/>
      <w:bookmarkStart w:id="115" w:name="_Toc64174186"/>
      <w:r>
        <w:rPr>
          <w:rFonts w:hint="eastAsia"/>
        </w:rPr>
        <w:lastRenderedPageBreak/>
        <w:t>基金有关文件档案的保存</w:t>
      </w:r>
      <w:bookmarkEnd w:id="107"/>
      <w:bookmarkEnd w:id="108"/>
      <w:bookmarkEnd w:id="109"/>
      <w:bookmarkEnd w:id="110"/>
      <w:bookmarkEnd w:id="111"/>
      <w:bookmarkEnd w:id="112"/>
      <w:bookmarkEnd w:id="113"/>
      <w:bookmarkEnd w:id="114"/>
      <w:bookmarkEnd w:id="115"/>
    </w:p>
    <w:p w:rsidR="00F8626C" w:rsidRDefault="00C0614F">
      <w:pPr>
        <w:spacing w:line="360" w:lineRule="auto"/>
        <w:ind w:firstLineChars="200" w:firstLine="420"/>
        <w:rPr>
          <w:rFonts w:ascii="宋体" w:hAnsi="宋体"/>
        </w:rPr>
      </w:pPr>
      <w:bookmarkStart w:id="116" w:name="_Toc414949343"/>
      <w:r>
        <w:rPr>
          <w:rFonts w:ascii="宋体" w:hAnsi="宋体" w:hint="eastAsia"/>
        </w:rPr>
        <w:t>基金管理人和基金托管人应完整保存各自的记录基金业务活动的原始凭证、记账凭证、基金账册、交易记录和重要合同等，保存期限为15年。</w:t>
      </w:r>
    </w:p>
    <w:p w:rsidR="00F8626C" w:rsidRDefault="00C0614F">
      <w:pPr>
        <w:spacing w:line="360" w:lineRule="auto"/>
        <w:ind w:firstLineChars="200" w:firstLine="420"/>
        <w:rPr>
          <w:rFonts w:ascii="宋体" w:hAnsi="宋体"/>
        </w:rPr>
      </w:pPr>
      <w:r>
        <w:rPr>
          <w:rFonts w:ascii="宋体" w:hAnsi="宋体" w:hint="eastAsia"/>
        </w:rPr>
        <w:t>有关基金的重大合同的正本，应由基金托管人负责保管。</w:t>
      </w:r>
    </w:p>
    <w:p w:rsidR="00F8626C" w:rsidRDefault="00C0614F">
      <w:pPr>
        <w:spacing w:line="360" w:lineRule="auto"/>
        <w:ind w:firstLineChars="200" w:firstLine="420"/>
        <w:rPr>
          <w:rFonts w:ascii="宋体" w:hAnsi="宋体"/>
        </w:rPr>
      </w:pPr>
      <w:r>
        <w:rPr>
          <w:rFonts w:ascii="宋体" w:hAnsi="宋体" w:hint="eastAsia"/>
        </w:rPr>
        <w:t>基金管理人或托管人变更后，未变更的一方有义务协助接任人接受基金的全部文件。</w:t>
      </w:r>
    </w:p>
    <w:p w:rsidR="00F8626C" w:rsidRDefault="00C0614F">
      <w:pPr>
        <w:spacing w:line="360" w:lineRule="auto"/>
        <w:ind w:firstLineChars="200" w:firstLine="420"/>
        <w:rPr>
          <w:rFonts w:ascii="宋体" w:hAnsi="宋体"/>
        </w:rPr>
      </w:pPr>
      <w:r>
        <w:rPr>
          <w:rFonts w:ascii="宋体" w:hAnsi="宋体"/>
        </w:rPr>
        <w:br w:type="page"/>
      </w:r>
    </w:p>
    <w:p w:rsidR="00F8626C" w:rsidRDefault="00C0614F">
      <w:pPr>
        <w:pStyle w:val="20"/>
        <w:numPr>
          <w:ilvl w:val="1"/>
          <w:numId w:val="1"/>
        </w:numPr>
        <w:spacing w:before="0" w:after="0" w:line="360" w:lineRule="auto"/>
      </w:pPr>
      <w:bookmarkStart w:id="117" w:name="_Toc15987782"/>
      <w:bookmarkStart w:id="118" w:name="_Toc61983343"/>
      <w:bookmarkStart w:id="119" w:name="_Toc9047765"/>
      <w:bookmarkStart w:id="120" w:name="_Toc10604970"/>
      <w:bookmarkStart w:id="121" w:name="_Toc55643142"/>
      <w:bookmarkStart w:id="122" w:name="_Toc9047422"/>
      <w:bookmarkStart w:id="123" w:name="_Toc9047566"/>
      <w:bookmarkStart w:id="124" w:name="_Toc64174268"/>
      <w:bookmarkStart w:id="125" w:name="_Toc64174187"/>
      <w:r>
        <w:rPr>
          <w:rFonts w:hint="eastAsia"/>
        </w:rPr>
        <w:lastRenderedPageBreak/>
        <w:t>基金托管人报告</w:t>
      </w:r>
      <w:bookmarkEnd w:id="116"/>
      <w:bookmarkEnd w:id="117"/>
      <w:bookmarkEnd w:id="118"/>
      <w:bookmarkEnd w:id="119"/>
      <w:bookmarkEnd w:id="120"/>
      <w:bookmarkEnd w:id="121"/>
      <w:bookmarkEnd w:id="122"/>
      <w:bookmarkEnd w:id="123"/>
      <w:bookmarkEnd w:id="124"/>
      <w:bookmarkEnd w:id="125"/>
    </w:p>
    <w:p w:rsidR="00F8626C" w:rsidRDefault="00C0614F">
      <w:pPr>
        <w:spacing w:line="360" w:lineRule="auto"/>
        <w:ind w:firstLineChars="200" w:firstLine="420"/>
        <w:rPr>
          <w:rFonts w:ascii="宋体" w:hAnsi="宋体"/>
        </w:rPr>
      </w:pPr>
      <w:r>
        <w:rPr>
          <w:rFonts w:ascii="宋体" w:hAnsi="宋体" w:hint="eastAsia"/>
        </w:rPr>
        <w:t>基金托管人应按《基金法》《运作办法》和中国证监会的有关规定在基金定期报告内出具托管人意见，说明基金管理人在各重要方面的运作是否严格按照基金合同的规定进行；如果基金管理人有未执行基金合同规定的行为，还应当说明基金托管人是否采取了适当措施。</w:t>
      </w:r>
    </w:p>
    <w:p w:rsidR="00F8626C" w:rsidRDefault="00C0614F">
      <w:pPr>
        <w:spacing w:line="360" w:lineRule="auto"/>
        <w:ind w:firstLineChars="200" w:firstLine="420"/>
        <w:rPr>
          <w:rFonts w:ascii="宋体" w:hAnsi="宋体"/>
        </w:rPr>
      </w:pPr>
      <w:r>
        <w:rPr>
          <w:rFonts w:ascii="宋体" w:hAnsi="宋体"/>
        </w:rPr>
        <w:br w:type="page"/>
      </w:r>
    </w:p>
    <w:p w:rsidR="00F8626C" w:rsidRDefault="00C0614F">
      <w:pPr>
        <w:pStyle w:val="20"/>
        <w:numPr>
          <w:ilvl w:val="1"/>
          <w:numId w:val="1"/>
        </w:numPr>
        <w:spacing w:before="0" w:after="0" w:line="360" w:lineRule="auto"/>
      </w:pPr>
      <w:bookmarkStart w:id="126" w:name="_Toc9047423"/>
      <w:bookmarkStart w:id="127" w:name="_Toc9047567"/>
      <w:bookmarkStart w:id="128" w:name="_Toc64174269"/>
      <w:bookmarkStart w:id="129" w:name="_Toc61983344"/>
      <w:bookmarkStart w:id="130" w:name="_Toc15987783"/>
      <w:bookmarkStart w:id="131" w:name="_Toc55643143"/>
      <w:bookmarkStart w:id="132" w:name="_Toc64174188"/>
      <w:bookmarkStart w:id="133" w:name="_Toc414949344"/>
      <w:bookmarkStart w:id="134" w:name="_Toc10604971"/>
      <w:bookmarkStart w:id="135" w:name="_Toc9047766"/>
      <w:r>
        <w:rPr>
          <w:rFonts w:hint="eastAsia"/>
        </w:rPr>
        <w:lastRenderedPageBreak/>
        <w:t>基金托管人和基金管理人的更换</w:t>
      </w:r>
      <w:bookmarkEnd w:id="126"/>
      <w:bookmarkEnd w:id="127"/>
      <w:bookmarkEnd w:id="128"/>
      <w:bookmarkEnd w:id="129"/>
      <w:bookmarkEnd w:id="130"/>
      <w:bookmarkEnd w:id="131"/>
      <w:bookmarkEnd w:id="132"/>
      <w:bookmarkEnd w:id="133"/>
      <w:bookmarkEnd w:id="134"/>
      <w:bookmarkEnd w:id="135"/>
    </w:p>
    <w:p w:rsidR="00F8626C" w:rsidRDefault="00C0614F">
      <w:pPr>
        <w:spacing w:line="360" w:lineRule="auto"/>
        <w:ind w:firstLineChars="200" w:firstLine="420"/>
        <w:rPr>
          <w:rFonts w:ascii="宋体" w:hAnsi="宋体"/>
        </w:rPr>
      </w:pPr>
      <w:r>
        <w:rPr>
          <w:rFonts w:ascii="宋体" w:hAnsi="宋体" w:hint="eastAsia"/>
        </w:rPr>
        <w:t>（一）基金托管人的更换</w:t>
      </w:r>
    </w:p>
    <w:p w:rsidR="00F8626C" w:rsidRDefault="00C0614F">
      <w:pPr>
        <w:spacing w:line="360" w:lineRule="auto"/>
        <w:ind w:firstLineChars="200" w:firstLine="420"/>
        <w:rPr>
          <w:rFonts w:ascii="宋体" w:hAnsi="宋体"/>
        </w:rPr>
      </w:pPr>
      <w:r>
        <w:rPr>
          <w:rFonts w:ascii="宋体" w:hAnsi="宋体" w:hint="eastAsia"/>
        </w:rPr>
        <w:t>1、基金管理人提议更换基金托管人的条件</w:t>
      </w:r>
    </w:p>
    <w:p w:rsidR="00F8626C" w:rsidRDefault="00C0614F">
      <w:pPr>
        <w:spacing w:line="360" w:lineRule="auto"/>
        <w:ind w:firstLineChars="200" w:firstLine="420"/>
        <w:rPr>
          <w:rFonts w:ascii="宋体" w:hAnsi="宋体"/>
        </w:rPr>
      </w:pPr>
      <w:r>
        <w:rPr>
          <w:rFonts w:ascii="宋体" w:hAnsi="宋体" w:hint="eastAsia"/>
        </w:rPr>
        <w:t>有下列情形之一的，经中国证监会和中国人民银行备案，可以更换基金托管人：</w:t>
      </w:r>
    </w:p>
    <w:p w:rsidR="00F8626C" w:rsidRDefault="00C0614F">
      <w:pPr>
        <w:spacing w:line="360" w:lineRule="auto"/>
        <w:ind w:firstLineChars="200" w:firstLine="420"/>
        <w:rPr>
          <w:rFonts w:ascii="宋体" w:hAnsi="宋体"/>
        </w:rPr>
      </w:pPr>
      <w:r>
        <w:rPr>
          <w:rFonts w:ascii="宋体" w:hAnsi="宋体" w:hint="eastAsia"/>
        </w:rPr>
        <w:t>（1）基金托管人解散、依法被撤销、破产或者由接管人接管其资产的；</w:t>
      </w:r>
    </w:p>
    <w:p w:rsidR="00F8626C" w:rsidRDefault="00C0614F">
      <w:pPr>
        <w:spacing w:line="360" w:lineRule="auto"/>
        <w:ind w:firstLineChars="200" w:firstLine="420"/>
        <w:rPr>
          <w:rFonts w:ascii="宋体" w:hAnsi="宋体"/>
        </w:rPr>
      </w:pPr>
      <w:r>
        <w:rPr>
          <w:rFonts w:ascii="宋体" w:hAnsi="宋体" w:hint="eastAsia"/>
        </w:rPr>
        <w:t>（2）基金管理人有充分理由认为更换基金托管人符合基金持有人利益的；</w:t>
      </w:r>
    </w:p>
    <w:p w:rsidR="00F8626C" w:rsidRDefault="00C0614F">
      <w:pPr>
        <w:spacing w:line="360" w:lineRule="auto"/>
        <w:ind w:firstLineChars="200" w:firstLine="420"/>
        <w:rPr>
          <w:rFonts w:ascii="宋体" w:hAnsi="宋体"/>
        </w:rPr>
      </w:pPr>
      <w:r>
        <w:rPr>
          <w:rFonts w:ascii="宋体" w:hAnsi="宋体" w:hint="eastAsia"/>
        </w:rPr>
        <w:t>（3）代表</w:t>
      </w:r>
      <w:r>
        <w:rPr>
          <w:rFonts w:ascii="宋体" w:hAnsi="宋体"/>
        </w:rPr>
        <w:t>50</w:t>
      </w:r>
      <w:r>
        <w:rPr>
          <w:rFonts w:ascii="宋体" w:hAnsi="宋体" w:hint="eastAsia"/>
        </w:rPr>
        <w:t>%以上基金份额的基金持有人要求基金托管人退任的；</w:t>
      </w:r>
    </w:p>
    <w:p w:rsidR="00F8626C" w:rsidRDefault="00C0614F">
      <w:pPr>
        <w:spacing w:line="360" w:lineRule="auto"/>
        <w:ind w:firstLineChars="200" w:firstLine="420"/>
        <w:rPr>
          <w:rFonts w:ascii="宋体" w:hAnsi="宋体"/>
        </w:rPr>
      </w:pPr>
      <w:r>
        <w:rPr>
          <w:rFonts w:ascii="宋体" w:hAnsi="宋体" w:hint="eastAsia"/>
        </w:rPr>
        <w:t>（4）中国人民银行有充分理由认为基金托管人不能继续履行基金托管职责的；</w:t>
      </w:r>
    </w:p>
    <w:p w:rsidR="00F8626C" w:rsidRDefault="00C0614F">
      <w:pPr>
        <w:spacing w:line="360" w:lineRule="auto"/>
        <w:ind w:firstLineChars="200" w:firstLine="420"/>
        <w:rPr>
          <w:rFonts w:ascii="宋体" w:hAnsi="宋体"/>
        </w:rPr>
      </w:pPr>
      <w:r>
        <w:rPr>
          <w:rFonts w:ascii="宋体" w:hAnsi="宋体" w:hint="eastAsia"/>
        </w:rPr>
        <w:t>（5）法律、法规规定的其他情形。</w:t>
      </w:r>
    </w:p>
    <w:p w:rsidR="00F8626C" w:rsidRDefault="00C0614F">
      <w:pPr>
        <w:spacing w:line="360" w:lineRule="auto"/>
        <w:ind w:firstLineChars="200" w:firstLine="420"/>
        <w:rPr>
          <w:rFonts w:ascii="宋体" w:hAnsi="宋体"/>
        </w:rPr>
      </w:pPr>
      <w:r>
        <w:rPr>
          <w:rFonts w:ascii="宋体" w:hAnsi="宋体" w:hint="eastAsia"/>
        </w:rPr>
        <w:t>2、更换基金托管人的程序</w:t>
      </w:r>
    </w:p>
    <w:p w:rsidR="00F8626C" w:rsidRDefault="00C0614F">
      <w:pPr>
        <w:spacing w:line="360" w:lineRule="auto"/>
        <w:ind w:firstLineChars="200" w:firstLine="420"/>
        <w:rPr>
          <w:rFonts w:ascii="宋体" w:hAnsi="宋体"/>
        </w:rPr>
      </w:pPr>
      <w:r>
        <w:rPr>
          <w:rFonts w:ascii="宋体" w:hAnsi="宋体" w:hint="eastAsia"/>
        </w:rPr>
        <w:t>（1）提名：新任基金托管人由基金管理人提名；</w:t>
      </w:r>
    </w:p>
    <w:p w:rsidR="00F8626C" w:rsidRDefault="00C0614F">
      <w:pPr>
        <w:spacing w:line="360" w:lineRule="auto"/>
        <w:ind w:firstLineChars="200" w:firstLine="420"/>
        <w:rPr>
          <w:rFonts w:ascii="宋体" w:hAnsi="宋体"/>
        </w:rPr>
      </w:pPr>
      <w:r>
        <w:rPr>
          <w:rFonts w:ascii="宋体" w:hAnsi="宋体" w:hint="eastAsia"/>
        </w:rPr>
        <w:t>（2）决议：基金持有人大会对被提名的新任基金托管人形成决议；</w:t>
      </w:r>
    </w:p>
    <w:p w:rsidR="00F8626C" w:rsidRDefault="00C0614F">
      <w:pPr>
        <w:spacing w:line="360" w:lineRule="auto"/>
        <w:ind w:firstLineChars="200" w:firstLine="420"/>
        <w:rPr>
          <w:rFonts w:ascii="宋体" w:hAnsi="宋体"/>
        </w:rPr>
      </w:pPr>
      <w:r>
        <w:rPr>
          <w:rFonts w:ascii="宋体" w:hAnsi="宋体" w:hint="eastAsia"/>
        </w:rPr>
        <w:t>（3）备案：</w:t>
      </w:r>
      <w:r>
        <w:rPr>
          <w:rFonts w:ascii="宋体" w:hAnsi="宋体"/>
        </w:rPr>
        <w:t>基金份额持有人大会选任基金管理人的决议须</w:t>
      </w:r>
      <w:r>
        <w:rPr>
          <w:rFonts w:ascii="宋体" w:hAnsi="宋体" w:hint="eastAsia"/>
        </w:rPr>
        <w:t>报</w:t>
      </w:r>
      <w:r>
        <w:rPr>
          <w:rFonts w:ascii="宋体" w:hAnsi="宋体"/>
        </w:rPr>
        <w:t>中国证监会</w:t>
      </w:r>
      <w:r>
        <w:rPr>
          <w:rFonts w:ascii="宋体" w:hAnsi="宋体" w:hint="eastAsia"/>
        </w:rPr>
        <w:t>备案；</w:t>
      </w:r>
    </w:p>
    <w:p w:rsidR="00F8626C" w:rsidRDefault="00C0614F">
      <w:pPr>
        <w:spacing w:line="360" w:lineRule="auto"/>
        <w:ind w:firstLineChars="200" w:firstLine="420"/>
        <w:rPr>
          <w:rFonts w:ascii="宋体" w:hAnsi="宋体"/>
        </w:rPr>
      </w:pPr>
      <w:r>
        <w:rPr>
          <w:rFonts w:ascii="宋体" w:hAnsi="宋体" w:hint="eastAsia"/>
        </w:rPr>
        <w:t>（4）公告：基金托管人更换后，由基金管理人在获得中国证监会和中国人民银行备案后</w:t>
      </w:r>
      <w:r>
        <w:rPr>
          <w:rFonts w:ascii="宋体" w:hAnsi="宋体"/>
        </w:rPr>
        <w:t>5</w:t>
      </w:r>
      <w:r>
        <w:rPr>
          <w:rFonts w:ascii="宋体" w:hAnsi="宋体" w:hint="eastAsia"/>
        </w:rPr>
        <w:t>个工作日内公告。若基金管理人与基金托管人同时更换，由中国证监会在</w:t>
      </w:r>
      <w:r>
        <w:rPr>
          <w:rFonts w:ascii="宋体" w:hAnsi="宋体"/>
        </w:rPr>
        <w:t>5</w:t>
      </w:r>
      <w:r>
        <w:rPr>
          <w:rFonts w:ascii="宋体" w:hAnsi="宋体" w:hint="eastAsia"/>
        </w:rPr>
        <w:t>个工作日内公告。</w:t>
      </w:r>
    </w:p>
    <w:p w:rsidR="00F8626C" w:rsidRDefault="00C0614F">
      <w:pPr>
        <w:spacing w:line="360" w:lineRule="auto"/>
        <w:ind w:firstLineChars="200" w:firstLine="420"/>
        <w:rPr>
          <w:rFonts w:ascii="宋体" w:hAnsi="宋体"/>
        </w:rPr>
      </w:pPr>
      <w:r>
        <w:rPr>
          <w:rFonts w:ascii="宋体" w:hAnsi="宋体" w:hint="eastAsia"/>
        </w:rPr>
        <w:t>（二）基金管理人的更换</w:t>
      </w:r>
    </w:p>
    <w:p w:rsidR="00F8626C" w:rsidRDefault="00C0614F">
      <w:pPr>
        <w:spacing w:line="360" w:lineRule="auto"/>
        <w:ind w:firstLineChars="200" w:firstLine="420"/>
        <w:rPr>
          <w:rFonts w:ascii="宋体" w:hAnsi="宋体"/>
        </w:rPr>
      </w:pPr>
      <w:r>
        <w:rPr>
          <w:rFonts w:ascii="宋体" w:hAnsi="宋体" w:hint="eastAsia"/>
        </w:rPr>
        <w:t>1、基金托管人提议更换基金管理人的条件</w:t>
      </w:r>
    </w:p>
    <w:p w:rsidR="00F8626C" w:rsidRDefault="00C0614F">
      <w:pPr>
        <w:spacing w:line="360" w:lineRule="auto"/>
        <w:ind w:firstLineChars="200" w:firstLine="420"/>
        <w:rPr>
          <w:rFonts w:ascii="宋体" w:hAnsi="宋体"/>
        </w:rPr>
      </w:pPr>
      <w:r>
        <w:rPr>
          <w:rFonts w:ascii="宋体" w:hAnsi="宋体" w:hint="eastAsia"/>
        </w:rPr>
        <w:t>有下列情形之一的，经中国证监会备案，可以更换基金管理人：</w:t>
      </w:r>
    </w:p>
    <w:p w:rsidR="00F8626C" w:rsidRDefault="00C0614F">
      <w:pPr>
        <w:spacing w:line="360" w:lineRule="auto"/>
        <w:ind w:firstLineChars="200" w:firstLine="420"/>
        <w:rPr>
          <w:rFonts w:ascii="宋体" w:hAnsi="宋体"/>
        </w:rPr>
      </w:pPr>
      <w:r>
        <w:rPr>
          <w:rFonts w:ascii="宋体" w:hAnsi="宋体" w:hint="eastAsia"/>
        </w:rPr>
        <w:t>（1）基金管理人解散、依法被撤销、破产或者由接管人接管其资产的；</w:t>
      </w:r>
    </w:p>
    <w:p w:rsidR="00F8626C" w:rsidRDefault="00C0614F">
      <w:pPr>
        <w:spacing w:line="360" w:lineRule="auto"/>
        <w:ind w:firstLineChars="200" w:firstLine="420"/>
        <w:rPr>
          <w:rFonts w:ascii="宋体" w:hAnsi="宋体"/>
        </w:rPr>
      </w:pPr>
      <w:r>
        <w:rPr>
          <w:rFonts w:ascii="宋体" w:hAnsi="宋体" w:hint="eastAsia"/>
        </w:rPr>
        <w:t>（2）基金托管人有充分理由认为更换基金管理人符合基金持有人利益的；</w:t>
      </w:r>
    </w:p>
    <w:p w:rsidR="00F8626C" w:rsidRDefault="00C0614F">
      <w:pPr>
        <w:spacing w:line="360" w:lineRule="auto"/>
        <w:ind w:firstLineChars="200" w:firstLine="420"/>
        <w:rPr>
          <w:rFonts w:ascii="宋体" w:hAnsi="宋体"/>
        </w:rPr>
      </w:pPr>
      <w:r>
        <w:rPr>
          <w:rFonts w:ascii="宋体" w:hAnsi="宋体" w:hint="eastAsia"/>
        </w:rPr>
        <w:t>（3）代表</w:t>
      </w:r>
      <w:r>
        <w:rPr>
          <w:rFonts w:ascii="宋体" w:hAnsi="宋体"/>
        </w:rPr>
        <w:t>50</w:t>
      </w:r>
      <w:r>
        <w:rPr>
          <w:rFonts w:ascii="宋体" w:hAnsi="宋体" w:hint="eastAsia"/>
        </w:rPr>
        <w:t>%以上基金份额的基金持有人要求基金管理人退任的；</w:t>
      </w:r>
    </w:p>
    <w:p w:rsidR="00F8626C" w:rsidRDefault="00C0614F">
      <w:pPr>
        <w:spacing w:line="360" w:lineRule="auto"/>
        <w:ind w:firstLineChars="200" w:firstLine="420"/>
        <w:rPr>
          <w:rFonts w:ascii="宋体" w:hAnsi="宋体"/>
        </w:rPr>
      </w:pPr>
      <w:r>
        <w:rPr>
          <w:rFonts w:ascii="宋体" w:hAnsi="宋体" w:hint="eastAsia"/>
        </w:rPr>
        <w:t>（4）中国证监会有充分理由认为基金管理人不能继续履行基金管理职责的；</w:t>
      </w:r>
    </w:p>
    <w:p w:rsidR="00F8626C" w:rsidRDefault="00C0614F">
      <w:pPr>
        <w:spacing w:line="360" w:lineRule="auto"/>
        <w:ind w:firstLineChars="200" w:firstLine="420"/>
        <w:rPr>
          <w:rFonts w:ascii="宋体" w:hAnsi="宋体"/>
        </w:rPr>
      </w:pPr>
      <w:r>
        <w:rPr>
          <w:rFonts w:ascii="宋体" w:hAnsi="宋体" w:hint="eastAsia"/>
        </w:rPr>
        <w:t>（5）法律、法规规定的其他情形。</w:t>
      </w:r>
    </w:p>
    <w:p w:rsidR="00F8626C" w:rsidRDefault="00C0614F">
      <w:pPr>
        <w:spacing w:line="360" w:lineRule="auto"/>
        <w:ind w:firstLineChars="200" w:firstLine="420"/>
        <w:rPr>
          <w:rFonts w:ascii="宋体" w:hAnsi="宋体"/>
        </w:rPr>
      </w:pPr>
      <w:r>
        <w:rPr>
          <w:rFonts w:ascii="宋体" w:hAnsi="宋体" w:hint="eastAsia"/>
        </w:rPr>
        <w:t>2、更换基金管理人的程序</w:t>
      </w:r>
    </w:p>
    <w:p w:rsidR="00F8626C" w:rsidRDefault="00C0614F">
      <w:pPr>
        <w:spacing w:line="360" w:lineRule="auto"/>
        <w:ind w:firstLineChars="200" w:firstLine="420"/>
        <w:rPr>
          <w:rFonts w:ascii="宋体" w:hAnsi="宋体"/>
        </w:rPr>
      </w:pPr>
      <w:r>
        <w:rPr>
          <w:rFonts w:ascii="宋体" w:hAnsi="宋体" w:hint="eastAsia"/>
        </w:rPr>
        <w:t>（1）提名：新任基金管理人由基金托管人提名；</w:t>
      </w:r>
    </w:p>
    <w:p w:rsidR="00F8626C" w:rsidRDefault="00C0614F">
      <w:pPr>
        <w:spacing w:line="360" w:lineRule="auto"/>
        <w:ind w:firstLineChars="200" w:firstLine="420"/>
        <w:rPr>
          <w:rFonts w:ascii="宋体" w:hAnsi="宋体"/>
        </w:rPr>
      </w:pPr>
      <w:r>
        <w:rPr>
          <w:rFonts w:ascii="宋体" w:hAnsi="宋体" w:hint="eastAsia"/>
        </w:rPr>
        <w:t>（2）决议：基金持有人大会对被提名的新任基金管理人形成决议；</w:t>
      </w:r>
    </w:p>
    <w:p w:rsidR="00F8626C" w:rsidRDefault="00C0614F">
      <w:pPr>
        <w:spacing w:line="360" w:lineRule="auto"/>
        <w:ind w:firstLineChars="200" w:firstLine="420"/>
        <w:rPr>
          <w:rFonts w:ascii="宋体" w:hAnsi="宋体"/>
        </w:rPr>
      </w:pPr>
      <w:r>
        <w:rPr>
          <w:rFonts w:ascii="宋体" w:hAnsi="宋体" w:hint="eastAsia"/>
        </w:rPr>
        <w:t>（3）备案：</w:t>
      </w:r>
      <w:r>
        <w:rPr>
          <w:rFonts w:ascii="宋体" w:hAnsi="宋体"/>
        </w:rPr>
        <w:t>基金份额持有人大会更换基金托管人的决议须</w:t>
      </w:r>
      <w:r>
        <w:rPr>
          <w:rFonts w:ascii="宋体" w:hAnsi="宋体" w:hint="eastAsia"/>
        </w:rPr>
        <w:t>报</w:t>
      </w:r>
      <w:r>
        <w:rPr>
          <w:rFonts w:ascii="宋体" w:hAnsi="宋体"/>
        </w:rPr>
        <w:t>中国证监会</w:t>
      </w:r>
      <w:r>
        <w:rPr>
          <w:rFonts w:ascii="宋体" w:hAnsi="宋体" w:hint="eastAsia"/>
        </w:rPr>
        <w:t>备案；</w:t>
      </w:r>
    </w:p>
    <w:p w:rsidR="00F8626C" w:rsidRDefault="00C0614F">
      <w:pPr>
        <w:spacing w:line="360" w:lineRule="auto"/>
        <w:rPr>
          <w:rFonts w:ascii="宋体" w:hAnsi="宋体"/>
        </w:rPr>
      </w:pPr>
      <w:r>
        <w:rPr>
          <w:rFonts w:ascii="宋体" w:hAnsi="宋体" w:hint="eastAsia"/>
        </w:rPr>
        <w:t>（4）公告：基金管理人更换后，由基金托管人在获得中国证监会备案后</w:t>
      </w:r>
      <w:r>
        <w:rPr>
          <w:rFonts w:ascii="宋体" w:hAnsi="宋体"/>
        </w:rPr>
        <w:t>5</w:t>
      </w:r>
      <w:r>
        <w:rPr>
          <w:rFonts w:ascii="宋体" w:hAnsi="宋体" w:hint="eastAsia"/>
        </w:rPr>
        <w:t>个工作日内公告。</w:t>
      </w:r>
      <w:r>
        <w:rPr>
          <w:rFonts w:ascii="宋体" w:hAnsi="宋体" w:hint="eastAsia"/>
        </w:rPr>
        <w:lastRenderedPageBreak/>
        <w:t>若基金管理人与基金托管人同时更换，由中国证监会在备案后</w:t>
      </w:r>
      <w:r>
        <w:rPr>
          <w:rFonts w:ascii="宋体" w:hAnsi="宋体"/>
        </w:rPr>
        <w:t>5</w:t>
      </w:r>
      <w:r>
        <w:rPr>
          <w:rFonts w:ascii="宋体" w:hAnsi="宋体" w:hint="eastAsia"/>
        </w:rPr>
        <w:t>个工作日内公告。</w:t>
      </w:r>
    </w:p>
    <w:p w:rsidR="00F8626C" w:rsidRDefault="00C0614F">
      <w:pPr>
        <w:spacing w:line="360" w:lineRule="auto"/>
        <w:rPr>
          <w:rFonts w:ascii="宋体" w:hAnsi="宋体"/>
        </w:rPr>
      </w:pPr>
      <w:r>
        <w:rPr>
          <w:rFonts w:ascii="宋体" w:hAnsi="宋体"/>
        </w:rPr>
        <w:br w:type="page"/>
      </w:r>
    </w:p>
    <w:p w:rsidR="00F8626C" w:rsidRDefault="00C0614F">
      <w:pPr>
        <w:pStyle w:val="20"/>
        <w:numPr>
          <w:ilvl w:val="1"/>
          <w:numId w:val="1"/>
        </w:numPr>
        <w:spacing w:before="0" w:after="0" w:line="360" w:lineRule="auto"/>
      </w:pPr>
      <w:bookmarkStart w:id="136" w:name="_Toc64174189"/>
      <w:bookmarkStart w:id="137" w:name="_Toc64174270"/>
      <w:bookmarkStart w:id="138" w:name="_Toc61983345"/>
      <w:r>
        <w:rPr>
          <w:rFonts w:hint="eastAsia"/>
        </w:rPr>
        <w:lastRenderedPageBreak/>
        <w:t>基金的管理费、托管费和持续销售费</w:t>
      </w:r>
      <w:bookmarkEnd w:id="136"/>
      <w:bookmarkEnd w:id="137"/>
      <w:bookmarkEnd w:id="138"/>
    </w:p>
    <w:p w:rsidR="00F8626C" w:rsidRDefault="00C0614F">
      <w:pPr>
        <w:spacing w:line="360" w:lineRule="auto"/>
        <w:ind w:firstLineChars="200" w:firstLine="420"/>
        <w:rPr>
          <w:rFonts w:ascii="宋体" w:hAnsi="宋体"/>
        </w:rPr>
      </w:pPr>
      <w:r>
        <w:rPr>
          <w:rFonts w:ascii="宋体" w:hAnsi="宋体" w:hint="eastAsia"/>
        </w:rPr>
        <w:t>（一）基金管理费、托管费和持续销售费的计提方法</w:t>
      </w:r>
    </w:p>
    <w:p w:rsidR="00F8626C" w:rsidRDefault="00C0614F">
      <w:pPr>
        <w:spacing w:line="360" w:lineRule="auto"/>
        <w:ind w:firstLine="420"/>
      </w:pPr>
      <w:r>
        <w:rPr>
          <w:rFonts w:hint="eastAsia"/>
        </w:rPr>
        <w:t>1</w:t>
      </w:r>
      <w:r>
        <w:rPr>
          <w:rFonts w:hint="eastAsia"/>
        </w:rPr>
        <w:t>、基金管理人的管理费</w:t>
      </w:r>
    </w:p>
    <w:p w:rsidR="00F8626C" w:rsidRDefault="00C0614F">
      <w:pPr>
        <w:spacing w:line="360" w:lineRule="auto"/>
        <w:ind w:firstLine="420"/>
      </w:pPr>
      <w:r>
        <w:t>在通常情况下</w:t>
      </w:r>
      <w:r>
        <w:rPr>
          <w:rFonts w:hint="eastAsia"/>
        </w:rPr>
        <w:t>，南方现金增利基金的管理费</w:t>
      </w:r>
      <w:r>
        <w:t>按前一日基金资产净值</w:t>
      </w:r>
      <w:r>
        <w:rPr>
          <w:rFonts w:hint="eastAsia"/>
        </w:rPr>
        <w:t>0.33%</w:t>
      </w:r>
      <w:r>
        <w:rPr>
          <w:rFonts w:hint="eastAsia"/>
        </w:rPr>
        <w:t>的年费率计算，</w:t>
      </w:r>
      <w:r>
        <w:t>计算方法如下：</w:t>
      </w:r>
    </w:p>
    <w:p w:rsidR="00F8626C" w:rsidRDefault="00C0614F">
      <w:pPr>
        <w:spacing w:line="360" w:lineRule="auto"/>
        <w:ind w:firstLine="420"/>
      </w:pPr>
      <w:r>
        <w:t>H</w:t>
      </w:r>
      <w:r>
        <w:rPr>
          <w:rFonts w:hint="eastAsia"/>
        </w:rPr>
        <w:t>＝</w:t>
      </w:r>
      <w:r>
        <w:t>E</w:t>
      </w:r>
      <w:r>
        <w:rPr>
          <w:rFonts w:hint="eastAsia"/>
        </w:rPr>
        <w:t>×</w:t>
      </w:r>
      <w:r>
        <w:t>0.33%</w:t>
      </w:r>
      <w:r>
        <w:rPr>
          <w:rFonts w:hint="eastAsia"/>
        </w:rPr>
        <w:t>÷当年天数</w:t>
      </w:r>
    </w:p>
    <w:p w:rsidR="00F8626C" w:rsidRDefault="00C0614F">
      <w:pPr>
        <w:spacing w:line="360" w:lineRule="auto"/>
        <w:ind w:firstLine="420"/>
      </w:pPr>
      <w:r>
        <w:t>H</w:t>
      </w:r>
      <w:r>
        <w:rPr>
          <w:rFonts w:hint="eastAsia"/>
        </w:rPr>
        <w:t>为每日应计提的基金管理费</w:t>
      </w:r>
    </w:p>
    <w:p w:rsidR="00F8626C" w:rsidRDefault="00C0614F">
      <w:pPr>
        <w:autoSpaceDE w:val="0"/>
        <w:autoSpaceDN w:val="0"/>
        <w:adjustRightInd w:val="0"/>
        <w:spacing w:line="360" w:lineRule="auto"/>
        <w:ind w:firstLineChars="200" w:firstLine="420"/>
        <w:jc w:val="left"/>
        <w:rPr>
          <w:rFonts w:ascii="宋体"/>
          <w:kern w:val="0"/>
          <w:szCs w:val="21"/>
        </w:rPr>
      </w:pPr>
      <w:r>
        <w:rPr>
          <w:rFonts w:ascii="Arial" w:hAnsi="Arial" w:cs="Arial"/>
          <w:kern w:val="0"/>
          <w:szCs w:val="21"/>
        </w:rPr>
        <w:t>E</w:t>
      </w:r>
      <w:r>
        <w:rPr>
          <w:rFonts w:ascii="宋体" w:hint="eastAsia"/>
          <w:kern w:val="0"/>
          <w:szCs w:val="21"/>
        </w:rPr>
        <w:t>为前一日基金资产净值</w:t>
      </w:r>
    </w:p>
    <w:p w:rsidR="00F8626C" w:rsidRDefault="00C0614F">
      <w:pPr>
        <w:autoSpaceDE w:val="0"/>
        <w:autoSpaceDN w:val="0"/>
        <w:adjustRightInd w:val="0"/>
        <w:spacing w:line="360" w:lineRule="auto"/>
        <w:ind w:firstLineChars="200" w:firstLine="420"/>
        <w:jc w:val="left"/>
        <w:rPr>
          <w:rFonts w:ascii="宋体" w:hAnsi="宋体"/>
          <w:sz w:val="22"/>
          <w:szCs w:val="22"/>
        </w:rPr>
      </w:pPr>
      <w:r>
        <w:rPr>
          <w:rFonts w:hint="eastAsia"/>
        </w:rPr>
        <w:t>基金管理人的管理费每日计提</w:t>
      </w:r>
      <w:r>
        <w:rPr>
          <w:rFonts w:hint="eastAsia"/>
        </w:rPr>
        <w:t xml:space="preserve">, </w:t>
      </w:r>
      <w:r>
        <w:rPr>
          <w:rFonts w:hint="eastAsia"/>
        </w:rPr>
        <w:t>按月支付，由基金管理人向基金托管人发送管理费划款指令，基金托管人复核后于次月首两个工作日内从基金资产中一次性支付给基金管理人，若遇法定节假日、休息日等，支付日期顺延。</w:t>
      </w:r>
    </w:p>
    <w:p w:rsidR="00F8626C" w:rsidRDefault="00C0614F">
      <w:pPr>
        <w:spacing w:line="360" w:lineRule="auto"/>
        <w:ind w:firstLine="420"/>
      </w:pPr>
      <w:r>
        <w:rPr>
          <w:rFonts w:hint="eastAsia"/>
        </w:rPr>
        <w:t>2</w:t>
      </w:r>
      <w:r>
        <w:rPr>
          <w:rFonts w:hint="eastAsia"/>
        </w:rPr>
        <w:t>、基金托管人的托管费</w:t>
      </w:r>
    </w:p>
    <w:p w:rsidR="00F8626C" w:rsidRDefault="00C0614F">
      <w:pPr>
        <w:spacing w:line="360" w:lineRule="auto"/>
        <w:ind w:firstLine="420"/>
      </w:pPr>
      <w:r>
        <w:t>在通常情况下</w:t>
      </w:r>
      <w:r>
        <w:rPr>
          <w:rFonts w:hint="eastAsia"/>
        </w:rPr>
        <w:t>，南方现金增利基金的托管费</w:t>
      </w:r>
      <w:r>
        <w:t>按前一日基金资产净值</w:t>
      </w:r>
      <w:r>
        <w:rPr>
          <w:rFonts w:hint="eastAsia"/>
        </w:rPr>
        <w:t>0.10%</w:t>
      </w:r>
      <w:r>
        <w:rPr>
          <w:rFonts w:hint="eastAsia"/>
        </w:rPr>
        <w:t>的年费率计算，</w:t>
      </w:r>
      <w:r>
        <w:t>计算方法如下：</w:t>
      </w:r>
    </w:p>
    <w:p w:rsidR="00F8626C" w:rsidRDefault="00C0614F">
      <w:pPr>
        <w:spacing w:line="360" w:lineRule="auto"/>
        <w:ind w:firstLine="420"/>
      </w:pPr>
      <w:r>
        <w:t>H</w:t>
      </w:r>
      <w:r>
        <w:rPr>
          <w:rFonts w:hint="eastAsia"/>
        </w:rPr>
        <w:t>＝</w:t>
      </w:r>
      <w:r>
        <w:t>E</w:t>
      </w:r>
      <w:r>
        <w:rPr>
          <w:rFonts w:hint="eastAsia"/>
        </w:rPr>
        <w:t>×</w:t>
      </w:r>
      <w:r>
        <w:t>0.</w:t>
      </w:r>
      <w:r>
        <w:rPr>
          <w:rFonts w:hint="eastAsia"/>
        </w:rPr>
        <w:t>10</w:t>
      </w:r>
      <w:r>
        <w:t>%</w:t>
      </w:r>
      <w:r>
        <w:rPr>
          <w:rFonts w:hint="eastAsia"/>
        </w:rPr>
        <w:t>÷当年天数</w:t>
      </w:r>
    </w:p>
    <w:p w:rsidR="00F8626C" w:rsidRDefault="00C0614F">
      <w:pPr>
        <w:spacing w:line="360" w:lineRule="auto"/>
        <w:ind w:firstLine="420"/>
      </w:pPr>
      <w:r>
        <w:t>H</w:t>
      </w:r>
      <w:r>
        <w:rPr>
          <w:rFonts w:hint="eastAsia"/>
        </w:rPr>
        <w:t>为每日应计提的基金托管费</w:t>
      </w:r>
    </w:p>
    <w:p w:rsidR="00F8626C" w:rsidRDefault="00C0614F">
      <w:pPr>
        <w:autoSpaceDE w:val="0"/>
        <w:autoSpaceDN w:val="0"/>
        <w:adjustRightInd w:val="0"/>
        <w:spacing w:line="360" w:lineRule="auto"/>
        <w:ind w:firstLineChars="200" w:firstLine="420"/>
        <w:jc w:val="left"/>
        <w:rPr>
          <w:rFonts w:ascii="宋体"/>
          <w:kern w:val="0"/>
          <w:szCs w:val="21"/>
        </w:rPr>
      </w:pPr>
      <w:r>
        <w:rPr>
          <w:rFonts w:ascii="Arial" w:hAnsi="Arial" w:cs="Arial"/>
          <w:kern w:val="0"/>
          <w:szCs w:val="21"/>
        </w:rPr>
        <w:t>E</w:t>
      </w:r>
      <w:r>
        <w:rPr>
          <w:rFonts w:ascii="宋体" w:hint="eastAsia"/>
          <w:kern w:val="0"/>
          <w:szCs w:val="21"/>
        </w:rPr>
        <w:t>为前一日基金资产净值</w:t>
      </w:r>
    </w:p>
    <w:p w:rsidR="00F8626C" w:rsidRDefault="00C0614F">
      <w:pPr>
        <w:pStyle w:val="30"/>
        <w:spacing w:line="360" w:lineRule="auto"/>
        <w:ind w:firstLineChars="200" w:firstLine="420"/>
        <w:rPr>
          <w:sz w:val="21"/>
        </w:rPr>
      </w:pPr>
      <w:r>
        <w:rPr>
          <w:rFonts w:hint="eastAsia"/>
          <w:sz w:val="21"/>
        </w:rPr>
        <w:t>基金托管人的托管费每日计算，每日计提，按月支付，由基金管理人向基金托管人发送托管费划款指令，基金托管人复核后于次月首两个工作日内从基金资产中一次性支取</w:t>
      </w:r>
      <w:r>
        <w:rPr>
          <w:rFonts w:ascii="Times New Roman" w:hint="eastAsia"/>
          <w:sz w:val="21"/>
        </w:rPr>
        <w:t>，若遇法定节假日、休息日等，支付日期顺延</w:t>
      </w:r>
      <w:r>
        <w:rPr>
          <w:rFonts w:hint="eastAsia"/>
          <w:sz w:val="21"/>
        </w:rPr>
        <w:t>。</w:t>
      </w:r>
    </w:p>
    <w:p w:rsidR="00F8626C" w:rsidRDefault="00C0614F">
      <w:pPr>
        <w:spacing w:line="360" w:lineRule="auto"/>
        <w:ind w:firstLine="420"/>
      </w:pPr>
      <w:r>
        <w:rPr>
          <w:rFonts w:hint="eastAsia"/>
        </w:rPr>
        <w:t>3</w:t>
      </w:r>
      <w:r>
        <w:rPr>
          <w:rFonts w:hint="eastAsia"/>
        </w:rPr>
        <w:t>、持续销售费</w:t>
      </w:r>
    </w:p>
    <w:p w:rsidR="00F8626C" w:rsidRDefault="00C0614F">
      <w:pPr>
        <w:spacing w:line="360" w:lineRule="auto"/>
        <w:ind w:firstLine="420"/>
        <w:rPr>
          <w:rFonts w:ascii="宋体" w:hAnsi="宋体" w:cs="宋体"/>
          <w:color w:val="000000"/>
          <w:kern w:val="0"/>
          <w:szCs w:val="21"/>
        </w:rPr>
      </w:pPr>
      <w:r>
        <w:rPr>
          <w:rFonts w:ascii="宋体" w:hAnsi="宋体" w:cs="宋体" w:hint="eastAsia"/>
          <w:color w:val="000000"/>
          <w:kern w:val="0"/>
          <w:szCs w:val="21"/>
        </w:rPr>
        <w:t>各级基金份额的持续销售费率均不超过0.25％年费率</w:t>
      </w:r>
      <w:r>
        <w:rPr>
          <w:rFonts w:ascii="宋体" w:hint="eastAsia"/>
          <w:szCs w:val="20"/>
        </w:rPr>
        <w:t>，各级基金份额计提的持续销售费率参见本基金的招募说明书。各级基金份额的持续销售费计算方</w:t>
      </w:r>
      <w:r>
        <w:rPr>
          <w:rFonts w:ascii="宋体" w:hAnsi="宋体" w:cs="宋体" w:hint="eastAsia"/>
          <w:color w:val="000000"/>
          <w:kern w:val="0"/>
          <w:szCs w:val="21"/>
        </w:rPr>
        <w:t>法如下：</w:t>
      </w:r>
    </w:p>
    <w:p w:rsidR="00F8626C" w:rsidRDefault="00C0614F">
      <w:pPr>
        <w:widowControl/>
        <w:spacing w:line="360" w:lineRule="auto"/>
        <w:ind w:firstLine="420"/>
        <w:jc w:val="left"/>
        <w:rPr>
          <w:rFonts w:ascii="宋体" w:hAnsi="宋体" w:cs="宋体"/>
          <w:color w:val="000000"/>
          <w:kern w:val="0"/>
          <w:szCs w:val="21"/>
        </w:rPr>
      </w:pPr>
      <w:r>
        <w:rPr>
          <w:rFonts w:ascii="宋体" w:hAnsi="宋体" w:cs="宋体"/>
          <w:color w:val="000000"/>
          <w:kern w:val="0"/>
          <w:szCs w:val="21"/>
        </w:rPr>
        <w:t>H</w:t>
      </w:r>
      <w:r>
        <w:rPr>
          <w:rFonts w:ascii="宋体" w:hAnsi="宋体" w:cs="宋体" w:hint="eastAsia"/>
          <w:color w:val="000000"/>
          <w:kern w:val="0"/>
          <w:szCs w:val="21"/>
        </w:rPr>
        <w:t>＝</w:t>
      </w:r>
      <w:r>
        <w:rPr>
          <w:rFonts w:ascii="宋体" w:hAnsi="宋体" w:cs="宋体"/>
          <w:color w:val="000000"/>
          <w:kern w:val="0"/>
          <w:szCs w:val="21"/>
        </w:rPr>
        <w:t>E</w:t>
      </w:r>
      <w:r>
        <w:rPr>
          <w:rFonts w:ascii="宋体" w:hAnsi="宋体" w:cs="宋体" w:hint="eastAsia"/>
          <w:color w:val="000000"/>
          <w:kern w:val="0"/>
          <w:szCs w:val="21"/>
        </w:rPr>
        <w:t>×R÷当年天数</w:t>
      </w:r>
    </w:p>
    <w:p w:rsidR="00F8626C" w:rsidRDefault="00C0614F">
      <w:pPr>
        <w:widowControl/>
        <w:spacing w:line="360" w:lineRule="auto"/>
        <w:ind w:firstLine="420"/>
        <w:jc w:val="left"/>
        <w:rPr>
          <w:rFonts w:ascii="宋体" w:hAnsi="宋体" w:cs="宋体"/>
          <w:color w:val="000000"/>
          <w:kern w:val="0"/>
          <w:szCs w:val="21"/>
        </w:rPr>
      </w:pPr>
      <w:r>
        <w:rPr>
          <w:rFonts w:ascii="宋体" w:hAnsi="宋体" w:cs="宋体"/>
          <w:color w:val="000000"/>
          <w:kern w:val="0"/>
          <w:szCs w:val="21"/>
        </w:rPr>
        <w:t>H</w:t>
      </w:r>
      <w:r>
        <w:rPr>
          <w:rFonts w:ascii="宋体" w:hAnsi="宋体" w:cs="宋体" w:hint="eastAsia"/>
          <w:color w:val="000000"/>
          <w:kern w:val="0"/>
          <w:szCs w:val="21"/>
        </w:rPr>
        <w:t>为每日应计提的持续销售费</w:t>
      </w:r>
    </w:p>
    <w:p w:rsidR="00F8626C" w:rsidRDefault="00C0614F">
      <w:pPr>
        <w:widowControl/>
        <w:spacing w:line="360" w:lineRule="auto"/>
        <w:ind w:firstLine="420"/>
        <w:jc w:val="left"/>
        <w:rPr>
          <w:rFonts w:ascii="宋体" w:hAnsi="宋体" w:cs="宋体"/>
          <w:color w:val="000000"/>
          <w:kern w:val="0"/>
          <w:szCs w:val="21"/>
        </w:rPr>
      </w:pPr>
      <w:r>
        <w:rPr>
          <w:rFonts w:ascii="宋体" w:hAnsi="宋体" w:cs="宋体"/>
          <w:color w:val="000000"/>
          <w:kern w:val="0"/>
          <w:szCs w:val="21"/>
        </w:rPr>
        <w:t>E</w:t>
      </w:r>
      <w:r>
        <w:rPr>
          <w:rFonts w:ascii="宋体" w:hAnsi="宋体" w:cs="宋体" w:hint="eastAsia"/>
          <w:color w:val="000000"/>
          <w:kern w:val="0"/>
          <w:szCs w:val="21"/>
        </w:rPr>
        <w:t xml:space="preserve">为前一日该级基金资产净值 </w:t>
      </w:r>
    </w:p>
    <w:p w:rsidR="00F8626C" w:rsidRDefault="00C0614F">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R为该级基金份额的持续销售费率</w:t>
      </w:r>
    </w:p>
    <w:p w:rsidR="00F8626C" w:rsidRDefault="00C0614F">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lastRenderedPageBreak/>
        <w:t>基金管理人可以调整对各级基金份额计提的持续销售费率，但各级持续销售费年费率最高不超过0.25%。基金管理人必须在开始调整之日前3 个工作日至少在一种中国证监会指定的媒体上刊登公告。</w:t>
      </w:r>
    </w:p>
    <w:p w:rsidR="00F8626C" w:rsidRDefault="00C0614F">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各级基金份额的基金持续销售费</w:t>
      </w:r>
      <w:r>
        <w:rPr>
          <w:rFonts w:ascii="宋体" w:hAnsi="宋体" w:cs="宋体"/>
          <w:color w:val="000000"/>
          <w:kern w:val="0"/>
          <w:szCs w:val="21"/>
        </w:rPr>
        <w:t>每日计提，按月支付。由基金管理人向基金托管人发送</w:t>
      </w:r>
      <w:r>
        <w:rPr>
          <w:rFonts w:ascii="宋体" w:hAnsi="宋体" w:cs="宋体" w:hint="eastAsia"/>
          <w:color w:val="000000"/>
          <w:kern w:val="0"/>
          <w:szCs w:val="21"/>
        </w:rPr>
        <w:t>持续销售费</w:t>
      </w:r>
      <w:r>
        <w:rPr>
          <w:rFonts w:ascii="宋体" w:hAnsi="宋体" w:cs="宋体"/>
          <w:color w:val="000000"/>
          <w:kern w:val="0"/>
          <w:szCs w:val="21"/>
        </w:rPr>
        <w:t>划付指令，经基金托管人复核后于次月首日起2个工作日内从基金财产中划出，经登记结算机构</w:t>
      </w:r>
      <w:r>
        <w:rPr>
          <w:rFonts w:ascii="宋体" w:hAnsi="宋体" w:cs="宋体" w:hint="eastAsia"/>
          <w:color w:val="000000"/>
          <w:kern w:val="0"/>
          <w:szCs w:val="21"/>
        </w:rPr>
        <w:t>代</w:t>
      </w:r>
      <w:r>
        <w:rPr>
          <w:rFonts w:ascii="宋体" w:hAnsi="宋体" w:cs="宋体"/>
          <w:color w:val="000000"/>
          <w:kern w:val="0"/>
          <w:szCs w:val="21"/>
        </w:rPr>
        <w:t>付给各个基金销售机构。若遇法定节假日、</w:t>
      </w:r>
      <w:r>
        <w:rPr>
          <w:rFonts w:ascii="宋体" w:hAnsi="宋体" w:cs="宋体" w:hint="eastAsia"/>
          <w:color w:val="000000"/>
          <w:kern w:val="0"/>
          <w:szCs w:val="21"/>
        </w:rPr>
        <w:t>公休假</w:t>
      </w:r>
      <w:r>
        <w:rPr>
          <w:rFonts w:ascii="宋体" w:hAnsi="宋体" w:cs="宋体"/>
          <w:color w:val="000000"/>
          <w:kern w:val="0"/>
          <w:szCs w:val="21"/>
        </w:rPr>
        <w:t>等,支付日期顺延。</w:t>
      </w:r>
    </w:p>
    <w:p w:rsidR="00F8626C" w:rsidRDefault="00F8626C">
      <w:pPr>
        <w:spacing w:line="360" w:lineRule="auto"/>
        <w:ind w:firstLine="420"/>
      </w:pPr>
    </w:p>
    <w:p w:rsidR="00F8626C" w:rsidRDefault="00C0614F">
      <w:pPr>
        <w:spacing w:line="360" w:lineRule="auto"/>
        <w:ind w:firstLineChars="200" w:firstLine="420"/>
        <w:rPr>
          <w:rFonts w:ascii="宋体" w:hAnsi="宋体"/>
        </w:rPr>
      </w:pPr>
      <w:r>
        <w:rPr>
          <w:rFonts w:ascii="宋体" w:hAnsi="宋体" w:hint="eastAsia"/>
          <w:kern w:val="21"/>
        </w:rPr>
        <w:t>（二</w:t>
      </w:r>
      <w:r>
        <w:rPr>
          <w:rFonts w:ascii="宋体" w:hAnsi="宋体" w:hint="eastAsia"/>
        </w:rPr>
        <w:t>）基金管理费、托管费和持续销售费的复核和支付</w:t>
      </w:r>
    </w:p>
    <w:p w:rsidR="00F8626C" w:rsidRDefault="00C0614F">
      <w:pPr>
        <w:spacing w:line="360" w:lineRule="auto"/>
        <w:ind w:firstLineChars="200" w:firstLine="420"/>
      </w:pPr>
      <w:r>
        <w:rPr>
          <w:rFonts w:ascii="宋体" w:hAnsi="宋体" w:hint="eastAsia"/>
        </w:rPr>
        <w:t>基金管理人和托管人应分别在每月第一个工作日将上月的上述费用计算结果发送给对方复核。发现差错的，双方及时改正；核对无误后，根据基金管理人的指令，由基金托管人从基金资产中一次性将基金管理费支付给基金管理人；托管费由托管人从基金资产中一次性支取。基金持续销售费用由</w:t>
      </w:r>
      <w:r>
        <w:rPr>
          <w:rFonts w:hint="eastAsia"/>
        </w:rPr>
        <w:t>基金托管人从基金资产中一次性支付给销售机构。</w:t>
      </w:r>
    </w:p>
    <w:p w:rsidR="00F8626C" w:rsidRDefault="00C0614F">
      <w:pPr>
        <w:spacing w:line="360" w:lineRule="auto"/>
        <w:ind w:firstLineChars="200" w:firstLine="420"/>
      </w:pPr>
      <w:r>
        <w:br w:type="page"/>
      </w:r>
    </w:p>
    <w:p w:rsidR="00F8626C" w:rsidRDefault="00F8626C">
      <w:pPr>
        <w:spacing w:line="360" w:lineRule="auto"/>
        <w:ind w:firstLineChars="200" w:firstLine="420"/>
        <w:rPr>
          <w:rFonts w:ascii="宋体" w:hAnsi="宋体"/>
        </w:rPr>
      </w:pPr>
    </w:p>
    <w:p w:rsidR="00F8626C" w:rsidRDefault="00C0614F">
      <w:pPr>
        <w:pStyle w:val="20"/>
        <w:numPr>
          <w:ilvl w:val="1"/>
          <w:numId w:val="1"/>
        </w:numPr>
        <w:spacing w:before="0" w:after="0" w:line="360" w:lineRule="auto"/>
      </w:pPr>
      <w:bookmarkStart w:id="139" w:name="_Toc10604973"/>
      <w:bookmarkStart w:id="140" w:name="_Toc9047425"/>
      <w:bookmarkStart w:id="141" w:name="_Toc61983346"/>
      <w:bookmarkStart w:id="142" w:name="_Toc15987785"/>
      <w:bookmarkStart w:id="143" w:name="_Toc55643145"/>
      <w:bookmarkStart w:id="144" w:name="_Toc414949346"/>
      <w:bookmarkStart w:id="145" w:name="_Toc64174271"/>
      <w:bookmarkStart w:id="146" w:name="_Toc9047768"/>
      <w:bookmarkStart w:id="147" w:name="_Toc9047569"/>
      <w:bookmarkStart w:id="148" w:name="_Toc64174190"/>
      <w:r>
        <w:rPr>
          <w:rFonts w:hint="eastAsia"/>
        </w:rPr>
        <w:t>禁止行为</w:t>
      </w:r>
      <w:bookmarkEnd w:id="139"/>
      <w:bookmarkEnd w:id="140"/>
      <w:bookmarkEnd w:id="141"/>
      <w:bookmarkEnd w:id="142"/>
      <w:bookmarkEnd w:id="143"/>
      <w:bookmarkEnd w:id="144"/>
      <w:bookmarkEnd w:id="145"/>
      <w:bookmarkEnd w:id="146"/>
      <w:bookmarkEnd w:id="147"/>
      <w:bookmarkEnd w:id="148"/>
    </w:p>
    <w:p w:rsidR="00F8626C" w:rsidRDefault="00C0614F">
      <w:pPr>
        <w:spacing w:line="360" w:lineRule="auto"/>
        <w:ind w:firstLineChars="200" w:firstLine="420"/>
        <w:rPr>
          <w:rFonts w:ascii="宋体" w:hAnsi="宋体"/>
          <w:kern w:val="21"/>
        </w:rPr>
      </w:pPr>
      <w:bookmarkStart w:id="149" w:name="_Toc414949347"/>
      <w:r>
        <w:rPr>
          <w:rFonts w:ascii="宋体" w:hAnsi="宋体" w:hint="eastAsia"/>
          <w:kern w:val="21"/>
        </w:rPr>
        <w:t>（一）基金管理人、基金托管人不得进行《基金法》禁止的行为。</w:t>
      </w:r>
    </w:p>
    <w:p w:rsidR="00F8626C" w:rsidRDefault="00C0614F">
      <w:pPr>
        <w:spacing w:line="360" w:lineRule="auto"/>
        <w:ind w:firstLineChars="200" w:firstLine="420"/>
        <w:rPr>
          <w:rFonts w:ascii="宋体" w:hAnsi="宋体"/>
          <w:kern w:val="21"/>
        </w:rPr>
      </w:pPr>
      <w:r>
        <w:rPr>
          <w:rFonts w:ascii="宋体" w:hAnsi="宋体" w:hint="eastAsia"/>
          <w:kern w:val="21"/>
        </w:rPr>
        <w:t>（二）除《基金法》、《运作办法》、基金合同及中国证监会另有规定，基金管理人、基金托管人不得为自身和任何第三人谋取利益；</w:t>
      </w:r>
    </w:p>
    <w:p w:rsidR="00F8626C" w:rsidRDefault="00C0614F">
      <w:pPr>
        <w:spacing w:line="360" w:lineRule="auto"/>
        <w:ind w:firstLineChars="200" w:firstLine="420"/>
        <w:rPr>
          <w:rFonts w:ascii="宋体" w:hAnsi="宋体"/>
          <w:kern w:val="21"/>
        </w:rPr>
      </w:pPr>
      <w:r>
        <w:rPr>
          <w:rFonts w:ascii="宋体" w:hAnsi="宋体" w:hint="eastAsia"/>
          <w:kern w:val="21"/>
        </w:rPr>
        <w:t>（三）基金管理人与基金托管人对基金经营过程中任何有关法律法规规定需要保密的信息，不得在公开披露前对他人泄露。</w:t>
      </w:r>
    </w:p>
    <w:p w:rsidR="00F8626C" w:rsidRDefault="00C0614F">
      <w:pPr>
        <w:spacing w:line="360" w:lineRule="auto"/>
        <w:ind w:firstLineChars="200" w:firstLine="420"/>
        <w:rPr>
          <w:rFonts w:ascii="宋体" w:hAnsi="宋体"/>
        </w:rPr>
      </w:pPr>
      <w:r>
        <w:rPr>
          <w:rFonts w:ascii="宋体" w:hAnsi="宋体" w:hint="eastAsia"/>
          <w:kern w:val="21"/>
        </w:rPr>
        <w:t>（四）基金托管人对基金管理人的正常指令不得拖延或拒绝执行</w:t>
      </w:r>
      <w:r>
        <w:rPr>
          <w:rFonts w:ascii="宋体" w:hAnsi="宋体" w:hint="eastAsia"/>
        </w:rPr>
        <w:t>；</w:t>
      </w:r>
    </w:p>
    <w:p w:rsidR="00F8626C" w:rsidRDefault="00C0614F">
      <w:pPr>
        <w:spacing w:line="360" w:lineRule="auto"/>
        <w:ind w:firstLineChars="200" w:firstLine="420"/>
        <w:rPr>
          <w:rFonts w:ascii="宋体" w:hAnsi="宋体"/>
          <w:kern w:val="21"/>
        </w:rPr>
      </w:pPr>
      <w:r>
        <w:rPr>
          <w:rFonts w:ascii="宋体" w:hAnsi="宋体" w:hint="eastAsia"/>
          <w:kern w:val="21"/>
        </w:rPr>
        <w:t>（五）除根据基金管理人指令或基金合同另有规定的，基金托管人不得动用或处分基金资产；</w:t>
      </w:r>
    </w:p>
    <w:p w:rsidR="00F8626C" w:rsidRDefault="00C0614F">
      <w:pPr>
        <w:spacing w:line="360" w:lineRule="auto"/>
        <w:ind w:firstLineChars="200" w:firstLine="420"/>
        <w:rPr>
          <w:rFonts w:ascii="宋体" w:hAnsi="宋体"/>
          <w:kern w:val="21"/>
        </w:rPr>
      </w:pPr>
      <w:r>
        <w:rPr>
          <w:rFonts w:ascii="宋体" w:hAnsi="宋体" w:hint="eastAsia"/>
          <w:kern w:val="21"/>
        </w:rPr>
        <w:t>（六）基金管理人、基金托管人在行政上、财务上互相独立，其高级管理人员不得相互兼职。</w:t>
      </w:r>
    </w:p>
    <w:p w:rsidR="00F8626C" w:rsidRDefault="00C0614F">
      <w:pPr>
        <w:pStyle w:val="11"/>
        <w:tabs>
          <w:tab w:val="clear" w:pos="644"/>
        </w:tabs>
        <w:ind w:left="0" w:firstLineChars="200" w:firstLine="420"/>
        <w:rPr>
          <w:sz w:val="24"/>
        </w:rPr>
      </w:pPr>
      <w:bookmarkStart w:id="150" w:name="_Toc9047426"/>
      <w:bookmarkStart w:id="151" w:name="_Toc9047570"/>
      <w:bookmarkStart w:id="152" w:name="_Toc10604974"/>
      <w:bookmarkStart w:id="153" w:name="_Toc15987786"/>
      <w:bookmarkStart w:id="154" w:name="_Toc55643146"/>
      <w:bookmarkStart w:id="155" w:name="_Toc9047769"/>
      <w:r>
        <w:rPr>
          <w:rFonts w:ascii="宋体" w:hAnsi="宋体" w:hint="eastAsia"/>
          <w:kern w:val="21"/>
        </w:rPr>
        <w:t>（七）</w:t>
      </w:r>
      <w:r>
        <w:rPr>
          <w:rFonts w:ascii="宋体" w:hAnsi="宋体" w:hint="eastAsia"/>
          <w:kern w:val="21"/>
          <w:szCs w:val="24"/>
        </w:rPr>
        <w:t>《基金合同》投资限制中禁止投资的行为。</w:t>
      </w:r>
    </w:p>
    <w:p w:rsidR="00F8626C" w:rsidRDefault="00C0614F">
      <w:pPr>
        <w:spacing w:line="360" w:lineRule="auto"/>
        <w:ind w:firstLineChars="200" w:firstLine="420"/>
        <w:rPr>
          <w:rFonts w:ascii="宋体" w:hAnsi="宋体"/>
          <w:kern w:val="21"/>
        </w:rPr>
      </w:pPr>
      <w:r>
        <w:rPr>
          <w:rFonts w:ascii="宋体" w:hAnsi="宋体" w:hint="eastAsia"/>
          <w:kern w:val="21"/>
        </w:rPr>
        <w:t>（八）法律、法规规定的其他禁止行为。</w:t>
      </w:r>
    </w:p>
    <w:p w:rsidR="00F8626C" w:rsidRDefault="00C0614F">
      <w:pPr>
        <w:spacing w:line="360" w:lineRule="auto"/>
        <w:ind w:firstLineChars="200" w:firstLine="420"/>
        <w:rPr>
          <w:rFonts w:ascii="宋体" w:hAnsi="宋体"/>
          <w:kern w:val="21"/>
        </w:rPr>
      </w:pPr>
      <w:r>
        <w:rPr>
          <w:rFonts w:ascii="宋体" w:hAnsi="宋体"/>
          <w:kern w:val="21"/>
        </w:rPr>
        <w:br w:type="page"/>
      </w:r>
    </w:p>
    <w:p w:rsidR="00F8626C" w:rsidRDefault="00C0614F">
      <w:pPr>
        <w:pStyle w:val="20"/>
        <w:numPr>
          <w:ilvl w:val="1"/>
          <w:numId w:val="1"/>
        </w:numPr>
        <w:spacing w:before="0" w:after="0" w:line="360" w:lineRule="auto"/>
      </w:pPr>
      <w:bookmarkStart w:id="156" w:name="_Toc61983347"/>
      <w:bookmarkStart w:id="157" w:name="_Toc64174191"/>
      <w:bookmarkStart w:id="158" w:name="_Toc64174272"/>
      <w:r>
        <w:rPr>
          <w:rFonts w:hint="eastAsia"/>
        </w:rPr>
        <w:lastRenderedPageBreak/>
        <w:t>违约责任</w:t>
      </w:r>
      <w:bookmarkEnd w:id="150"/>
      <w:bookmarkEnd w:id="151"/>
      <w:bookmarkEnd w:id="152"/>
      <w:bookmarkEnd w:id="153"/>
      <w:bookmarkEnd w:id="154"/>
      <w:bookmarkEnd w:id="155"/>
      <w:bookmarkEnd w:id="156"/>
      <w:bookmarkEnd w:id="157"/>
      <w:bookmarkEnd w:id="158"/>
    </w:p>
    <w:p w:rsidR="00F8626C" w:rsidRDefault="00C0614F">
      <w:pPr>
        <w:pStyle w:val="11"/>
        <w:tabs>
          <w:tab w:val="clear" w:pos="644"/>
        </w:tabs>
        <w:ind w:left="0" w:firstLineChars="200" w:firstLine="420"/>
        <w:rPr>
          <w:rFonts w:ascii="宋体" w:hAnsi="宋体"/>
          <w:kern w:val="21"/>
          <w:szCs w:val="24"/>
        </w:rPr>
      </w:pPr>
      <w:bookmarkStart w:id="159" w:name="_Toc10604975"/>
      <w:bookmarkStart w:id="160" w:name="_Toc414949348"/>
      <w:bookmarkStart w:id="161" w:name="_Toc9047427"/>
      <w:bookmarkStart w:id="162" w:name="_Toc15987787"/>
      <w:bookmarkStart w:id="163" w:name="_Toc55643147"/>
      <w:bookmarkStart w:id="164" w:name="_Toc9047571"/>
      <w:bookmarkStart w:id="165" w:name="_Toc9047770"/>
      <w:bookmarkEnd w:id="149"/>
      <w:r>
        <w:rPr>
          <w:rFonts w:ascii="宋体" w:hAnsi="宋体" w:hint="eastAsia"/>
          <w:kern w:val="21"/>
          <w:szCs w:val="24"/>
        </w:rPr>
        <w:t>本协议任何一方当事人的违约行为给基金资产造成实际损害的，违约方应承担赔偿责任，另一方有义务代表基金对违约方进行追偿。但是发生下列情况，当事人可以免责：</w:t>
      </w:r>
    </w:p>
    <w:p w:rsidR="00F8626C" w:rsidRDefault="00C0614F">
      <w:pPr>
        <w:pStyle w:val="11"/>
        <w:tabs>
          <w:tab w:val="clear" w:pos="644"/>
        </w:tabs>
        <w:ind w:left="0" w:firstLineChars="200" w:firstLine="420"/>
        <w:rPr>
          <w:rFonts w:ascii="宋体" w:hAnsi="宋体"/>
          <w:kern w:val="21"/>
          <w:szCs w:val="24"/>
        </w:rPr>
      </w:pPr>
      <w:r>
        <w:rPr>
          <w:rFonts w:ascii="宋体" w:hAnsi="宋体" w:hint="eastAsia"/>
          <w:kern w:val="21"/>
          <w:szCs w:val="24"/>
        </w:rPr>
        <w:t>（1）基金管理人及基金托管人按照中国证监会的规定或当时有效的法律、法规或规章实施的作为或不作为而造成的损失等；</w:t>
      </w:r>
    </w:p>
    <w:p w:rsidR="00F8626C" w:rsidRDefault="00C0614F">
      <w:pPr>
        <w:pStyle w:val="11"/>
        <w:tabs>
          <w:tab w:val="clear" w:pos="644"/>
        </w:tabs>
        <w:ind w:left="0" w:firstLineChars="200" w:firstLine="420"/>
        <w:rPr>
          <w:rFonts w:ascii="宋体" w:hAnsi="宋体"/>
          <w:kern w:val="21"/>
          <w:szCs w:val="24"/>
        </w:rPr>
      </w:pPr>
      <w:r>
        <w:rPr>
          <w:rFonts w:ascii="宋体" w:hAnsi="宋体" w:hint="eastAsia"/>
          <w:kern w:val="21"/>
          <w:szCs w:val="24"/>
        </w:rPr>
        <w:t>（2）基金管理人在没有过错的情况下，由于按照本《基金合同》规定的投资原则而投资或不投资而造成的损失等；</w:t>
      </w:r>
    </w:p>
    <w:p w:rsidR="00F8626C" w:rsidRDefault="00C0614F">
      <w:pPr>
        <w:pStyle w:val="11"/>
        <w:tabs>
          <w:tab w:val="clear" w:pos="644"/>
        </w:tabs>
        <w:ind w:left="0" w:firstLineChars="200" w:firstLine="420"/>
        <w:rPr>
          <w:rFonts w:ascii="宋体" w:hAnsi="宋体"/>
          <w:kern w:val="21"/>
          <w:szCs w:val="24"/>
        </w:rPr>
      </w:pPr>
      <w:r>
        <w:rPr>
          <w:rFonts w:ascii="宋体" w:hAnsi="宋体" w:hint="eastAsia"/>
          <w:kern w:val="21"/>
          <w:szCs w:val="24"/>
        </w:rPr>
        <w:t>（3）当事人无法预见、无法抗拒、无法避免且在本协议由基金管理人、基金托管人签署之日后发生的，使本协议当事人无法全部履行或无法部分履行本协议的任何事件，包括但不限于洪水、地震及其它自然灾害、战争、骚乱、火灾、政府征用、没收、法律变化、突发停电或其它突发事件、证券交易所非正常暂停或停止交易。</w:t>
      </w:r>
    </w:p>
    <w:p w:rsidR="00F8626C" w:rsidRDefault="00C0614F">
      <w:pPr>
        <w:pStyle w:val="11"/>
        <w:tabs>
          <w:tab w:val="clear" w:pos="644"/>
        </w:tabs>
        <w:ind w:left="0" w:firstLineChars="200" w:firstLine="420"/>
        <w:rPr>
          <w:rFonts w:ascii="宋体" w:hAnsi="宋体"/>
          <w:kern w:val="21"/>
          <w:szCs w:val="24"/>
        </w:rPr>
      </w:pPr>
      <w:r>
        <w:rPr>
          <w:rFonts w:ascii="宋体" w:hAnsi="宋体" w:hint="eastAsia"/>
          <w:kern w:val="21"/>
          <w:szCs w:val="24"/>
        </w:rPr>
        <w:t>当事人一方违约，另一方在职责范围内有义务及时采取必要的措施，尽力防止损失的扩大。</w:t>
      </w:r>
    </w:p>
    <w:p w:rsidR="00F8626C" w:rsidRDefault="00C0614F">
      <w:pPr>
        <w:pStyle w:val="11"/>
        <w:tabs>
          <w:tab w:val="clear" w:pos="644"/>
        </w:tabs>
        <w:ind w:left="0" w:firstLineChars="171" w:firstLine="359"/>
        <w:rPr>
          <w:rFonts w:ascii="宋体" w:hAnsi="宋体"/>
          <w:kern w:val="21"/>
          <w:szCs w:val="24"/>
        </w:rPr>
      </w:pPr>
      <w:r>
        <w:rPr>
          <w:rFonts w:ascii="宋体" w:hAnsi="宋体" w:hint="eastAsia"/>
          <w:kern w:val="21"/>
          <w:szCs w:val="24"/>
        </w:rPr>
        <w:t xml:space="preserve"> 违约行为虽已发生，但本托管协议能够继续履行的，在最大限度地保护基金持有人利益的前提下，基金管理人和基金托管人应当继续履行本协议。</w:t>
      </w:r>
    </w:p>
    <w:p w:rsidR="00F8626C" w:rsidRDefault="00C0614F">
      <w:pPr>
        <w:rPr>
          <w:kern w:val="21"/>
        </w:rPr>
      </w:pPr>
      <w:r>
        <w:rPr>
          <w:kern w:val="21"/>
        </w:rPr>
        <w:br w:type="page"/>
      </w:r>
    </w:p>
    <w:p w:rsidR="00F8626C" w:rsidRDefault="00C0614F">
      <w:pPr>
        <w:pStyle w:val="20"/>
        <w:numPr>
          <w:ilvl w:val="1"/>
          <w:numId w:val="1"/>
        </w:numPr>
        <w:spacing w:before="0" w:after="0" w:line="360" w:lineRule="auto"/>
        <w:rPr>
          <w:spacing w:val="6"/>
        </w:rPr>
      </w:pPr>
      <w:bookmarkStart w:id="166" w:name="_Toc64174192"/>
      <w:bookmarkStart w:id="167" w:name="_Toc61983348"/>
      <w:bookmarkStart w:id="168" w:name="_Toc64174273"/>
      <w:r>
        <w:rPr>
          <w:rFonts w:hint="eastAsia"/>
        </w:rPr>
        <w:lastRenderedPageBreak/>
        <w:t>争议的处理</w:t>
      </w:r>
      <w:bookmarkEnd w:id="159"/>
      <w:bookmarkEnd w:id="160"/>
      <w:bookmarkEnd w:id="161"/>
      <w:bookmarkEnd w:id="162"/>
      <w:bookmarkEnd w:id="163"/>
      <w:bookmarkEnd w:id="164"/>
      <w:bookmarkEnd w:id="165"/>
      <w:bookmarkEnd w:id="166"/>
      <w:bookmarkEnd w:id="167"/>
      <w:bookmarkEnd w:id="168"/>
    </w:p>
    <w:p w:rsidR="00F8626C" w:rsidRDefault="00C0614F">
      <w:pPr>
        <w:spacing w:line="360" w:lineRule="auto"/>
        <w:ind w:firstLineChars="200" w:firstLine="420"/>
        <w:rPr>
          <w:rFonts w:ascii="宋体" w:hAnsi="宋体"/>
          <w:kern w:val="21"/>
        </w:rPr>
      </w:pPr>
      <w:r>
        <w:rPr>
          <w:rFonts w:ascii="宋体" w:hAnsi="宋体" w:hint="eastAsia"/>
          <w:kern w:val="21"/>
        </w:rPr>
        <w:t>因本协议产生的争议，双方当事人应尽量通过协商、调解途径解决。不愿或者不能通过协商、调解解决的，可以在有管辖权的人民法院通过诉讼解决。</w:t>
      </w:r>
    </w:p>
    <w:p w:rsidR="00F8626C" w:rsidRDefault="00C0614F">
      <w:pPr>
        <w:spacing w:line="360" w:lineRule="auto"/>
        <w:ind w:firstLineChars="200" w:firstLine="420"/>
        <w:rPr>
          <w:rFonts w:ascii="宋体" w:hAnsi="宋体"/>
          <w:kern w:val="21"/>
        </w:rPr>
      </w:pPr>
      <w:r>
        <w:rPr>
          <w:rFonts w:ascii="宋体" w:hAnsi="宋体" w:hint="eastAsia"/>
          <w:kern w:val="21"/>
        </w:rPr>
        <w:t>争议处理期间，双方当事人应恪守基金管理人和托管人职责，各自继续忠实、勤勉、尽责地履行基金合同规定的义务，维护基金持有人的合法权益。</w:t>
      </w:r>
    </w:p>
    <w:p w:rsidR="00F8626C" w:rsidRDefault="00C0614F">
      <w:pPr>
        <w:spacing w:line="360" w:lineRule="auto"/>
        <w:ind w:firstLineChars="200" w:firstLine="420"/>
        <w:rPr>
          <w:rFonts w:ascii="宋体" w:hAnsi="宋体"/>
          <w:kern w:val="21"/>
        </w:rPr>
      </w:pPr>
      <w:r>
        <w:rPr>
          <w:rFonts w:ascii="宋体" w:hAnsi="宋体"/>
          <w:kern w:val="21"/>
        </w:rPr>
        <w:br w:type="page"/>
      </w:r>
    </w:p>
    <w:p w:rsidR="00F8626C" w:rsidRDefault="00C0614F">
      <w:pPr>
        <w:pStyle w:val="20"/>
        <w:numPr>
          <w:ilvl w:val="1"/>
          <w:numId w:val="1"/>
        </w:numPr>
        <w:spacing w:before="0" w:after="0" w:line="360" w:lineRule="auto"/>
        <w:rPr>
          <w:spacing w:val="6"/>
        </w:rPr>
      </w:pPr>
      <w:bookmarkStart w:id="169" w:name="_Toc9047428"/>
      <w:bookmarkStart w:id="170" w:name="_Toc414949349"/>
      <w:bookmarkStart w:id="171" w:name="_Toc55643148"/>
      <w:bookmarkStart w:id="172" w:name="_Toc9047572"/>
      <w:bookmarkStart w:id="173" w:name="_Toc64174193"/>
      <w:bookmarkStart w:id="174" w:name="_Toc64174274"/>
      <w:bookmarkStart w:id="175" w:name="_Toc9047771"/>
      <w:bookmarkStart w:id="176" w:name="_Toc15987788"/>
      <w:bookmarkStart w:id="177" w:name="_Toc10604976"/>
      <w:bookmarkStart w:id="178" w:name="_Toc61983349"/>
      <w:r>
        <w:rPr>
          <w:rFonts w:hint="eastAsia"/>
        </w:rPr>
        <w:lastRenderedPageBreak/>
        <w:t>托管协议的效力</w:t>
      </w:r>
      <w:bookmarkEnd w:id="169"/>
      <w:bookmarkEnd w:id="170"/>
      <w:bookmarkEnd w:id="171"/>
      <w:bookmarkEnd w:id="172"/>
      <w:bookmarkEnd w:id="173"/>
      <w:bookmarkEnd w:id="174"/>
      <w:bookmarkEnd w:id="175"/>
      <w:bookmarkEnd w:id="176"/>
      <w:bookmarkEnd w:id="177"/>
      <w:bookmarkEnd w:id="178"/>
    </w:p>
    <w:p w:rsidR="00F8626C" w:rsidRDefault="00C0614F">
      <w:pPr>
        <w:spacing w:line="360" w:lineRule="auto"/>
        <w:ind w:firstLineChars="200" w:firstLine="420"/>
        <w:rPr>
          <w:rFonts w:ascii="宋体" w:hAnsi="宋体"/>
          <w:kern w:val="21"/>
        </w:rPr>
      </w:pPr>
      <w:r>
        <w:rPr>
          <w:rFonts w:ascii="宋体" w:hAnsi="宋体" w:hint="eastAsia"/>
          <w:kern w:val="21"/>
        </w:rPr>
        <w:t>（一）本协议经双方当事人盖章以及双方法定代表人或授权代表签字，并经中国证监会批准后，自本基金成立之日起生效。本协议的有效期自其生效之日起至基金合同终止之日止。</w:t>
      </w:r>
    </w:p>
    <w:p w:rsidR="00F8626C" w:rsidRDefault="00C0614F">
      <w:pPr>
        <w:spacing w:line="360" w:lineRule="auto"/>
        <w:ind w:firstLineChars="200" w:firstLine="420"/>
        <w:rPr>
          <w:rFonts w:ascii="宋体" w:hAnsi="宋体"/>
          <w:kern w:val="21"/>
        </w:rPr>
      </w:pPr>
      <w:r>
        <w:rPr>
          <w:rFonts w:ascii="宋体" w:hAnsi="宋体" w:hint="eastAsia"/>
          <w:kern w:val="21"/>
        </w:rPr>
        <w:t>（二）本协议一式六份，协议双方各持两份，上报中国证监会一份，基金留存一份。每份具有同等法律效力。</w:t>
      </w:r>
    </w:p>
    <w:p w:rsidR="00F8626C" w:rsidRDefault="00C0614F">
      <w:pPr>
        <w:spacing w:line="360" w:lineRule="auto"/>
        <w:ind w:firstLineChars="200" w:firstLine="420"/>
        <w:rPr>
          <w:rFonts w:ascii="宋体" w:hAnsi="宋体"/>
          <w:kern w:val="21"/>
        </w:rPr>
      </w:pPr>
      <w:r>
        <w:rPr>
          <w:rFonts w:ascii="宋体" w:hAnsi="宋体"/>
          <w:kern w:val="21"/>
        </w:rPr>
        <w:br w:type="page"/>
      </w:r>
    </w:p>
    <w:p w:rsidR="00F8626C" w:rsidRDefault="00C0614F">
      <w:pPr>
        <w:pStyle w:val="20"/>
        <w:numPr>
          <w:ilvl w:val="1"/>
          <w:numId w:val="1"/>
        </w:numPr>
        <w:spacing w:before="0" w:after="0" w:line="360" w:lineRule="auto"/>
      </w:pPr>
      <w:bookmarkStart w:id="179" w:name="_Toc9047429"/>
      <w:bookmarkStart w:id="180" w:name="_Toc10604977"/>
      <w:bookmarkStart w:id="181" w:name="_Toc15987789"/>
      <w:bookmarkStart w:id="182" w:name="_Toc55643149"/>
      <w:bookmarkStart w:id="183" w:name="_Toc9047772"/>
      <w:bookmarkStart w:id="184" w:name="_Toc9047573"/>
      <w:bookmarkStart w:id="185" w:name="_Toc64174275"/>
      <w:bookmarkStart w:id="186" w:name="_Toc64174194"/>
      <w:bookmarkStart w:id="187" w:name="_Toc61983350"/>
      <w:bookmarkStart w:id="188" w:name="_Toc414949350"/>
      <w:r>
        <w:rPr>
          <w:rFonts w:hint="eastAsia"/>
        </w:rPr>
        <w:lastRenderedPageBreak/>
        <w:t>托管协议的修改和终止</w:t>
      </w:r>
      <w:bookmarkEnd w:id="179"/>
      <w:bookmarkEnd w:id="180"/>
      <w:bookmarkEnd w:id="181"/>
      <w:bookmarkEnd w:id="182"/>
      <w:bookmarkEnd w:id="183"/>
      <w:bookmarkEnd w:id="184"/>
      <w:bookmarkEnd w:id="185"/>
      <w:bookmarkEnd w:id="186"/>
      <w:bookmarkEnd w:id="187"/>
    </w:p>
    <w:p w:rsidR="00F8626C" w:rsidRDefault="00C0614F">
      <w:pPr>
        <w:spacing w:line="360" w:lineRule="auto"/>
        <w:ind w:firstLineChars="200" w:firstLine="420"/>
        <w:rPr>
          <w:rFonts w:ascii="宋体" w:hAnsi="宋体"/>
          <w:kern w:val="21"/>
        </w:rPr>
      </w:pPr>
      <w:bookmarkStart w:id="189" w:name="_Toc414949351"/>
      <w:bookmarkEnd w:id="188"/>
      <w:r>
        <w:rPr>
          <w:rFonts w:ascii="宋体" w:hAnsi="宋体" w:hint="eastAsia"/>
          <w:kern w:val="21"/>
        </w:rPr>
        <w:t>（一）本协议双方当事人经协商一致，可以对协议进行修改。修改后的新协议，其内容不得与《基金合同》的规定有任何冲突。修改后的新协议，报中国证监会备案。</w:t>
      </w:r>
    </w:p>
    <w:p w:rsidR="00F8626C" w:rsidRDefault="00C0614F">
      <w:pPr>
        <w:spacing w:line="360" w:lineRule="auto"/>
        <w:ind w:firstLineChars="200" w:firstLine="420"/>
        <w:rPr>
          <w:rFonts w:ascii="宋体" w:hAnsi="宋体"/>
          <w:kern w:val="21"/>
        </w:rPr>
      </w:pPr>
      <w:r>
        <w:rPr>
          <w:rFonts w:ascii="宋体" w:hAnsi="宋体" w:hint="eastAsia"/>
          <w:kern w:val="21"/>
        </w:rPr>
        <w:t>（二）发生以下情况，本托管协议终止：</w:t>
      </w:r>
    </w:p>
    <w:p w:rsidR="00F8626C" w:rsidRDefault="00C0614F">
      <w:pPr>
        <w:spacing w:line="360" w:lineRule="auto"/>
        <w:ind w:firstLineChars="200" w:firstLine="420"/>
        <w:rPr>
          <w:rFonts w:ascii="宋体" w:hAnsi="宋体"/>
          <w:kern w:val="21"/>
        </w:rPr>
      </w:pPr>
      <w:r>
        <w:rPr>
          <w:rFonts w:ascii="宋体" w:hAnsi="宋体" w:hint="eastAsia"/>
          <w:kern w:val="21"/>
        </w:rPr>
        <w:t>1、基金合同终止；</w:t>
      </w:r>
    </w:p>
    <w:p w:rsidR="00F8626C" w:rsidRDefault="00C0614F">
      <w:pPr>
        <w:spacing w:line="360" w:lineRule="auto"/>
        <w:ind w:firstLineChars="200" w:firstLine="420"/>
        <w:rPr>
          <w:rFonts w:ascii="宋体" w:hAnsi="宋体"/>
          <w:kern w:val="21"/>
        </w:rPr>
      </w:pPr>
      <w:r>
        <w:rPr>
          <w:rFonts w:ascii="宋体" w:hAnsi="宋体"/>
          <w:kern w:val="21"/>
        </w:rPr>
        <w:t>2</w:t>
      </w:r>
      <w:r>
        <w:rPr>
          <w:rFonts w:ascii="宋体" w:hAnsi="宋体" w:hint="eastAsia"/>
          <w:kern w:val="21"/>
        </w:rPr>
        <w:t>、基金托管人解散、依法被撤销、破产或由其他基金托管人接管基金资产；</w:t>
      </w:r>
    </w:p>
    <w:p w:rsidR="00F8626C" w:rsidRDefault="00C0614F">
      <w:pPr>
        <w:spacing w:line="360" w:lineRule="auto"/>
        <w:ind w:firstLineChars="200" w:firstLine="420"/>
        <w:rPr>
          <w:rFonts w:ascii="宋体" w:hAnsi="宋体"/>
          <w:kern w:val="21"/>
        </w:rPr>
      </w:pPr>
      <w:r>
        <w:rPr>
          <w:rFonts w:ascii="宋体" w:hAnsi="宋体"/>
          <w:kern w:val="21"/>
        </w:rPr>
        <w:t>3</w:t>
      </w:r>
      <w:r>
        <w:rPr>
          <w:rFonts w:ascii="宋体" w:hAnsi="宋体" w:hint="eastAsia"/>
          <w:kern w:val="21"/>
        </w:rPr>
        <w:t>、基金管理人解散、依法被撤销、破产或由其他基金管理人接管其基金管理权；</w:t>
      </w:r>
    </w:p>
    <w:p w:rsidR="00F8626C" w:rsidRDefault="00C0614F">
      <w:pPr>
        <w:spacing w:line="360" w:lineRule="auto"/>
        <w:ind w:firstLineChars="200" w:firstLine="420"/>
        <w:rPr>
          <w:rFonts w:ascii="宋体" w:hAnsi="宋体"/>
          <w:kern w:val="21"/>
        </w:rPr>
      </w:pPr>
      <w:r>
        <w:rPr>
          <w:rFonts w:ascii="宋体" w:hAnsi="宋体" w:hint="eastAsia"/>
          <w:kern w:val="21"/>
        </w:rPr>
        <w:t>4、发生法律、法规规定的基金终止事项。</w:t>
      </w:r>
    </w:p>
    <w:p w:rsidR="00F8626C" w:rsidRDefault="00C0614F">
      <w:pPr>
        <w:spacing w:line="360" w:lineRule="auto"/>
        <w:ind w:firstLineChars="200" w:firstLine="420"/>
        <w:rPr>
          <w:rFonts w:ascii="宋体" w:hAnsi="宋体"/>
          <w:kern w:val="21"/>
        </w:rPr>
      </w:pPr>
      <w:r>
        <w:rPr>
          <w:rFonts w:ascii="宋体" w:hAnsi="宋体"/>
          <w:kern w:val="21"/>
        </w:rPr>
        <w:br w:type="page"/>
      </w:r>
    </w:p>
    <w:p w:rsidR="00F8626C" w:rsidRDefault="00C0614F">
      <w:pPr>
        <w:pStyle w:val="20"/>
        <w:numPr>
          <w:ilvl w:val="1"/>
          <w:numId w:val="1"/>
        </w:numPr>
        <w:spacing w:before="0" w:after="0" w:line="360" w:lineRule="auto"/>
      </w:pPr>
      <w:bookmarkStart w:id="190" w:name="_Toc55643150"/>
      <w:bookmarkStart w:id="191" w:name="_Toc9047574"/>
      <w:bookmarkStart w:id="192" w:name="_Toc61983351"/>
      <w:bookmarkStart w:id="193" w:name="_Toc9047773"/>
      <w:bookmarkStart w:id="194" w:name="_Toc9047430"/>
      <w:bookmarkStart w:id="195" w:name="_Toc10604978"/>
      <w:bookmarkStart w:id="196" w:name="_Toc64174195"/>
      <w:bookmarkStart w:id="197" w:name="_Toc15987790"/>
      <w:bookmarkStart w:id="198" w:name="_Toc64174276"/>
      <w:r>
        <w:rPr>
          <w:rFonts w:hint="eastAsia"/>
        </w:rPr>
        <w:lastRenderedPageBreak/>
        <w:t>其他事项</w:t>
      </w:r>
      <w:bookmarkEnd w:id="189"/>
      <w:bookmarkEnd w:id="190"/>
      <w:bookmarkEnd w:id="191"/>
      <w:bookmarkEnd w:id="192"/>
      <w:bookmarkEnd w:id="193"/>
      <w:bookmarkEnd w:id="194"/>
      <w:bookmarkEnd w:id="195"/>
      <w:bookmarkEnd w:id="196"/>
      <w:bookmarkEnd w:id="197"/>
      <w:bookmarkEnd w:id="198"/>
    </w:p>
    <w:p w:rsidR="00F8626C" w:rsidRDefault="00C0614F">
      <w:pPr>
        <w:spacing w:line="360" w:lineRule="auto"/>
        <w:ind w:firstLineChars="200" w:firstLine="420"/>
        <w:rPr>
          <w:rFonts w:ascii="宋体" w:hAnsi="宋体"/>
          <w:kern w:val="21"/>
        </w:rPr>
      </w:pPr>
      <w:bookmarkStart w:id="199" w:name="_Toc414949352"/>
      <w:r>
        <w:rPr>
          <w:rFonts w:ascii="宋体" w:hAnsi="宋体" w:hint="eastAsia"/>
          <w:kern w:val="21"/>
        </w:rPr>
        <w:t>本协议未尽事宜，当事人依据《基金合同》、《运作办法》、有关法律、法规和规定协商办理。</w:t>
      </w:r>
    </w:p>
    <w:p w:rsidR="00F8626C" w:rsidRDefault="00C0614F">
      <w:pPr>
        <w:spacing w:line="360" w:lineRule="auto"/>
        <w:ind w:firstLineChars="200" w:firstLine="420"/>
        <w:rPr>
          <w:rFonts w:ascii="宋体" w:hAnsi="宋体"/>
          <w:kern w:val="21"/>
        </w:rPr>
      </w:pPr>
      <w:r>
        <w:rPr>
          <w:rFonts w:ascii="宋体" w:hAnsi="宋体"/>
          <w:kern w:val="21"/>
        </w:rPr>
        <w:br w:type="page"/>
      </w:r>
    </w:p>
    <w:p w:rsidR="00F8626C" w:rsidRDefault="00C0614F">
      <w:pPr>
        <w:pStyle w:val="20"/>
        <w:numPr>
          <w:ilvl w:val="1"/>
          <w:numId w:val="1"/>
        </w:numPr>
        <w:spacing w:before="0" w:after="0" w:line="360" w:lineRule="auto"/>
        <w:rPr>
          <w:spacing w:val="6"/>
        </w:rPr>
      </w:pPr>
      <w:bookmarkStart w:id="200" w:name="_Toc64174277"/>
      <w:bookmarkStart w:id="201" w:name="_Toc9047431"/>
      <w:bookmarkStart w:id="202" w:name="_Toc9047774"/>
      <w:bookmarkStart w:id="203" w:name="_Toc15987791"/>
      <w:bookmarkStart w:id="204" w:name="_Toc61983352"/>
      <w:bookmarkStart w:id="205" w:name="_Toc9047575"/>
      <w:bookmarkStart w:id="206" w:name="_Toc10604979"/>
      <w:bookmarkStart w:id="207" w:name="_Toc55643151"/>
      <w:bookmarkStart w:id="208" w:name="_Toc64174196"/>
      <w:r>
        <w:rPr>
          <w:rFonts w:hint="eastAsia"/>
        </w:rPr>
        <w:lastRenderedPageBreak/>
        <w:t>托管协议当事人签字、</w:t>
      </w:r>
      <w:bookmarkStart w:id="209" w:name="_Toc414949353"/>
      <w:bookmarkEnd w:id="199"/>
      <w:r>
        <w:rPr>
          <w:rFonts w:hint="eastAsia"/>
        </w:rPr>
        <w:t>签订地、签订日</w:t>
      </w:r>
      <w:bookmarkEnd w:id="200"/>
      <w:bookmarkEnd w:id="201"/>
      <w:bookmarkEnd w:id="202"/>
      <w:bookmarkEnd w:id="203"/>
      <w:bookmarkEnd w:id="204"/>
      <w:bookmarkEnd w:id="205"/>
      <w:bookmarkEnd w:id="206"/>
      <w:bookmarkEnd w:id="207"/>
      <w:bookmarkEnd w:id="208"/>
      <w:bookmarkEnd w:id="209"/>
    </w:p>
    <w:p w:rsidR="00F8626C" w:rsidRDefault="00C0614F">
      <w:pPr>
        <w:spacing w:line="360" w:lineRule="auto"/>
        <w:outlineLvl w:val="0"/>
        <w:rPr>
          <w:rFonts w:ascii="宋体" w:hAnsi="宋体"/>
          <w:bCs/>
          <w:spacing w:val="6"/>
        </w:rPr>
      </w:pPr>
      <w:r>
        <w:rPr>
          <w:rFonts w:ascii="宋体" w:hAnsi="宋体"/>
          <w:bCs/>
          <w:spacing w:val="6"/>
        </w:rPr>
        <w:t>(</w:t>
      </w:r>
      <w:r>
        <w:rPr>
          <w:rFonts w:ascii="宋体" w:hAnsi="宋体" w:hint="eastAsia"/>
          <w:bCs/>
          <w:spacing w:val="6"/>
        </w:rPr>
        <w:t>见下页)</w:t>
      </w:r>
    </w:p>
    <w:p w:rsidR="00F8626C" w:rsidRDefault="00F8626C">
      <w:pPr>
        <w:spacing w:line="360" w:lineRule="auto"/>
        <w:outlineLvl w:val="0"/>
        <w:rPr>
          <w:rFonts w:ascii="宋体" w:hAnsi="宋体"/>
          <w:bCs/>
          <w:spacing w:val="6"/>
        </w:rPr>
      </w:pPr>
    </w:p>
    <w:p w:rsidR="00F8626C" w:rsidRDefault="00F8626C">
      <w:pPr>
        <w:spacing w:line="360" w:lineRule="auto"/>
        <w:outlineLvl w:val="0"/>
        <w:rPr>
          <w:rFonts w:ascii="宋体" w:hAnsi="宋体"/>
          <w:bCs/>
          <w:spacing w:val="6"/>
        </w:rPr>
      </w:pPr>
    </w:p>
    <w:p w:rsidR="00F8626C" w:rsidRDefault="00F8626C">
      <w:pPr>
        <w:spacing w:line="360" w:lineRule="auto"/>
        <w:outlineLvl w:val="0"/>
        <w:rPr>
          <w:rFonts w:ascii="宋体" w:hAnsi="宋体"/>
          <w:bCs/>
          <w:spacing w:val="6"/>
        </w:rPr>
      </w:pPr>
    </w:p>
    <w:p w:rsidR="00F8626C" w:rsidRDefault="00F8626C">
      <w:pPr>
        <w:spacing w:line="360" w:lineRule="auto"/>
        <w:ind w:firstLineChars="200" w:firstLine="444"/>
        <w:rPr>
          <w:rFonts w:ascii="宋体" w:hAnsi="宋体"/>
          <w:bCs/>
          <w:spacing w:val="6"/>
        </w:rPr>
      </w:pPr>
    </w:p>
    <w:p w:rsidR="00F8626C" w:rsidRDefault="00C0614F">
      <w:pPr>
        <w:spacing w:line="360" w:lineRule="auto"/>
        <w:ind w:firstLineChars="200" w:firstLine="444"/>
        <w:rPr>
          <w:rFonts w:ascii="宋体" w:hAnsi="宋体"/>
          <w:bCs/>
          <w:spacing w:val="6"/>
        </w:rPr>
      </w:pPr>
      <w:r>
        <w:rPr>
          <w:rFonts w:ascii="宋体" w:hAnsi="宋体"/>
          <w:bCs/>
          <w:spacing w:val="6"/>
        </w:rPr>
        <w:br w:type="page"/>
      </w:r>
    </w:p>
    <w:p w:rsidR="00F8626C" w:rsidRDefault="00C0614F">
      <w:pPr>
        <w:pStyle w:val="30"/>
        <w:spacing w:line="360" w:lineRule="auto"/>
        <w:ind w:firstLine="0"/>
        <w:rPr>
          <w:rFonts w:ascii="Times New Roman"/>
          <w:sz w:val="21"/>
        </w:rPr>
      </w:pPr>
      <w:r>
        <w:rPr>
          <w:rFonts w:ascii="Times New Roman" w:hint="eastAsia"/>
          <w:sz w:val="21"/>
        </w:rPr>
        <w:lastRenderedPageBreak/>
        <w:t>（本签字页仅供南方现金增利基金托管协议使用）</w:t>
      </w:r>
    </w:p>
    <w:p w:rsidR="00F8626C" w:rsidRDefault="00F8626C">
      <w:pPr>
        <w:pStyle w:val="30"/>
        <w:spacing w:line="360" w:lineRule="auto"/>
        <w:ind w:firstLine="0"/>
        <w:rPr>
          <w:rFonts w:ascii="Times New Roman"/>
          <w:sz w:val="21"/>
        </w:rPr>
      </w:pPr>
    </w:p>
    <w:p w:rsidR="00F8626C" w:rsidRDefault="00C0614F">
      <w:pPr>
        <w:pStyle w:val="30"/>
        <w:spacing w:line="360" w:lineRule="auto"/>
        <w:ind w:firstLine="0"/>
        <w:rPr>
          <w:rFonts w:ascii="Times New Roman"/>
          <w:sz w:val="21"/>
        </w:rPr>
      </w:pPr>
      <w:r>
        <w:rPr>
          <w:rFonts w:ascii="Times New Roman" w:hint="eastAsia"/>
          <w:sz w:val="21"/>
        </w:rPr>
        <w:t>基金管理人：南方基金管理有限公司</w:t>
      </w:r>
      <w:r>
        <w:rPr>
          <w:rFonts w:ascii="Times New Roman" w:hint="eastAsia"/>
          <w:sz w:val="21"/>
        </w:rPr>
        <w:t xml:space="preserve">                              </w:t>
      </w:r>
    </w:p>
    <w:p w:rsidR="00F8626C" w:rsidRDefault="00C0614F">
      <w:pPr>
        <w:pStyle w:val="30"/>
        <w:spacing w:line="360" w:lineRule="auto"/>
        <w:ind w:firstLine="0"/>
        <w:rPr>
          <w:rFonts w:ascii="Times New Roman"/>
          <w:sz w:val="21"/>
        </w:rPr>
      </w:pPr>
      <w:r>
        <w:rPr>
          <w:rFonts w:ascii="Times New Roman" w:hint="eastAsia"/>
          <w:sz w:val="21"/>
        </w:rPr>
        <w:t>（南方基金管理有限公司盖章、法定代表人或授权代表签字）</w:t>
      </w:r>
      <w:r>
        <w:rPr>
          <w:rFonts w:ascii="Times New Roman" w:hint="eastAsia"/>
          <w:sz w:val="21"/>
        </w:rPr>
        <w:t xml:space="preserve">                     </w:t>
      </w: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C0614F">
      <w:pPr>
        <w:pStyle w:val="30"/>
        <w:spacing w:line="360" w:lineRule="auto"/>
        <w:ind w:firstLine="0"/>
        <w:rPr>
          <w:rFonts w:ascii="Times New Roman"/>
          <w:sz w:val="21"/>
        </w:rPr>
      </w:pPr>
      <w:r>
        <w:rPr>
          <w:rFonts w:ascii="Times New Roman" w:hint="eastAsia"/>
          <w:sz w:val="21"/>
        </w:rPr>
        <w:t>签订地：</w:t>
      </w:r>
      <w:r>
        <w:rPr>
          <w:rFonts w:ascii="Times New Roman" w:hint="eastAsia"/>
          <w:sz w:val="21"/>
        </w:rPr>
        <w:t xml:space="preserve">        </w:t>
      </w:r>
      <w:r>
        <w:rPr>
          <w:rFonts w:ascii="Times New Roman" w:hint="eastAsia"/>
          <w:sz w:val="21"/>
        </w:rPr>
        <w:t>市</w:t>
      </w:r>
    </w:p>
    <w:p w:rsidR="00F8626C" w:rsidRDefault="00C0614F">
      <w:pPr>
        <w:pStyle w:val="30"/>
        <w:spacing w:line="360" w:lineRule="auto"/>
        <w:ind w:firstLine="0"/>
        <w:rPr>
          <w:rFonts w:ascii="Times New Roman"/>
          <w:sz w:val="21"/>
        </w:rPr>
      </w:pPr>
      <w:r>
        <w:rPr>
          <w:rFonts w:ascii="Times New Roman" w:hint="eastAsia"/>
          <w:sz w:val="21"/>
        </w:rPr>
        <w:t>签订日：</w:t>
      </w:r>
      <w:r>
        <w:rPr>
          <w:rFonts w:ascii="Times New Roman" w:hint="eastAsia"/>
          <w:sz w:val="21"/>
        </w:rPr>
        <w:t xml:space="preserve">        </w:t>
      </w:r>
      <w:r>
        <w:rPr>
          <w:rFonts w:ascii="Times New Roman" w:hint="eastAsia"/>
          <w:sz w:val="21"/>
        </w:rPr>
        <w:t>年</w:t>
      </w:r>
      <w:r>
        <w:rPr>
          <w:rFonts w:ascii="Times New Roman" w:hint="eastAsia"/>
          <w:sz w:val="21"/>
        </w:rPr>
        <w:t xml:space="preserve">   </w:t>
      </w:r>
      <w:r>
        <w:rPr>
          <w:rFonts w:ascii="Times New Roman" w:hint="eastAsia"/>
          <w:sz w:val="21"/>
        </w:rPr>
        <w:t>月</w:t>
      </w:r>
      <w:r>
        <w:rPr>
          <w:rFonts w:ascii="Times New Roman" w:hint="eastAsia"/>
          <w:sz w:val="21"/>
        </w:rPr>
        <w:t xml:space="preserve">   </w:t>
      </w:r>
      <w:r>
        <w:rPr>
          <w:rFonts w:ascii="Times New Roman" w:hint="eastAsia"/>
          <w:sz w:val="21"/>
        </w:rPr>
        <w:t>日</w:t>
      </w:r>
    </w:p>
    <w:p w:rsidR="00F8626C" w:rsidRDefault="00F8626C">
      <w:pPr>
        <w:pStyle w:val="30"/>
        <w:spacing w:line="360" w:lineRule="auto"/>
        <w:ind w:firstLine="0"/>
        <w:rPr>
          <w:rFonts w:ascii="Times New Roman"/>
          <w:sz w:val="21"/>
        </w:rPr>
      </w:pPr>
    </w:p>
    <w:p w:rsidR="00F8626C" w:rsidRDefault="00C0614F">
      <w:pPr>
        <w:pStyle w:val="30"/>
        <w:spacing w:line="360" w:lineRule="auto"/>
        <w:ind w:firstLine="0"/>
        <w:rPr>
          <w:rFonts w:ascii="Times New Roman"/>
          <w:sz w:val="21"/>
        </w:rPr>
      </w:pPr>
      <w:r>
        <w:rPr>
          <w:rFonts w:ascii="Times New Roman" w:hint="eastAsia"/>
          <w:sz w:val="21"/>
        </w:rPr>
        <w:t>基金托管人：中国工商银行</w:t>
      </w:r>
    </w:p>
    <w:p w:rsidR="00F8626C" w:rsidRDefault="00C0614F">
      <w:pPr>
        <w:pStyle w:val="30"/>
        <w:spacing w:line="360" w:lineRule="auto"/>
        <w:ind w:firstLine="0"/>
        <w:rPr>
          <w:rFonts w:ascii="Times New Roman"/>
          <w:sz w:val="21"/>
        </w:rPr>
      </w:pPr>
      <w:r>
        <w:rPr>
          <w:rFonts w:ascii="Times New Roman" w:hint="eastAsia"/>
          <w:sz w:val="21"/>
        </w:rPr>
        <w:t>（中国工商银行盖章、法定代表人或授权代表签字）</w:t>
      </w: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F8626C">
      <w:pPr>
        <w:pStyle w:val="30"/>
        <w:spacing w:line="360" w:lineRule="auto"/>
        <w:ind w:firstLine="0"/>
        <w:rPr>
          <w:rFonts w:ascii="Times New Roman"/>
          <w:sz w:val="21"/>
        </w:rPr>
      </w:pPr>
    </w:p>
    <w:p w:rsidR="00F8626C" w:rsidRDefault="00C0614F">
      <w:pPr>
        <w:pStyle w:val="30"/>
        <w:spacing w:line="360" w:lineRule="auto"/>
        <w:ind w:firstLine="0"/>
        <w:rPr>
          <w:rFonts w:ascii="Times New Roman"/>
          <w:sz w:val="21"/>
        </w:rPr>
      </w:pPr>
      <w:r>
        <w:rPr>
          <w:rFonts w:ascii="Times New Roman" w:hint="eastAsia"/>
          <w:sz w:val="21"/>
        </w:rPr>
        <w:t>签订地：</w:t>
      </w:r>
      <w:r>
        <w:rPr>
          <w:rFonts w:ascii="Times New Roman" w:hint="eastAsia"/>
          <w:sz w:val="21"/>
        </w:rPr>
        <w:t xml:space="preserve">        </w:t>
      </w:r>
      <w:r>
        <w:rPr>
          <w:rFonts w:ascii="Times New Roman" w:hint="eastAsia"/>
          <w:sz w:val="21"/>
        </w:rPr>
        <w:t>市</w:t>
      </w:r>
    </w:p>
    <w:p w:rsidR="00F8626C" w:rsidRDefault="00C0614F">
      <w:pPr>
        <w:spacing w:line="360" w:lineRule="auto"/>
      </w:pPr>
      <w:r>
        <w:rPr>
          <w:rFonts w:hint="eastAsia"/>
        </w:rPr>
        <w:t>签订日：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F8626C" w:rsidSect="00F8626C">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C95" w:rsidRDefault="002C6C95" w:rsidP="00F8626C">
      <w:r>
        <w:separator/>
      </w:r>
    </w:p>
  </w:endnote>
  <w:endnote w:type="continuationSeparator" w:id="1">
    <w:p w:rsidR="002C6C95" w:rsidRDefault="002C6C95" w:rsidP="00F86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6C" w:rsidRDefault="004450B3">
    <w:pPr>
      <w:pStyle w:val="a7"/>
      <w:framePr w:wrap="around" w:vAnchor="text" w:hAnchor="margin" w:xAlign="center" w:y="1"/>
      <w:rPr>
        <w:rStyle w:val="aa"/>
      </w:rPr>
    </w:pPr>
    <w:r>
      <w:rPr>
        <w:rStyle w:val="aa"/>
      </w:rPr>
      <w:fldChar w:fldCharType="begin"/>
    </w:r>
    <w:r w:rsidR="00C0614F">
      <w:rPr>
        <w:rStyle w:val="aa"/>
      </w:rPr>
      <w:instrText xml:space="preserve">PAGE  </w:instrText>
    </w:r>
    <w:r>
      <w:rPr>
        <w:rStyle w:val="aa"/>
      </w:rPr>
      <w:fldChar w:fldCharType="end"/>
    </w:r>
  </w:p>
  <w:p w:rsidR="00F8626C" w:rsidRDefault="00F8626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6C" w:rsidRDefault="004450B3">
    <w:pPr>
      <w:pStyle w:val="a7"/>
      <w:framePr w:wrap="around" w:vAnchor="text" w:hAnchor="margin" w:xAlign="center" w:y="1"/>
      <w:jc w:val="center"/>
      <w:rPr>
        <w:rStyle w:val="aa"/>
      </w:rPr>
    </w:pPr>
    <w:r>
      <w:rPr>
        <w:rStyle w:val="aa"/>
      </w:rPr>
      <w:fldChar w:fldCharType="begin"/>
    </w:r>
    <w:r w:rsidR="00C0614F">
      <w:rPr>
        <w:rStyle w:val="aa"/>
      </w:rPr>
      <w:instrText xml:space="preserve">PAGE  </w:instrText>
    </w:r>
    <w:r>
      <w:rPr>
        <w:rStyle w:val="aa"/>
      </w:rPr>
      <w:fldChar w:fldCharType="separate"/>
    </w:r>
    <w:r w:rsidR="0046459B">
      <w:rPr>
        <w:rStyle w:val="aa"/>
        <w:noProof/>
      </w:rPr>
      <w:t>32</w:t>
    </w:r>
    <w:r>
      <w:rPr>
        <w:rStyle w:val="aa"/>
      </w:rPr>
      <w:fldChar w:fldCharType="end"/>
    </w:r>
  </w:p>
  <w:p w:rsidR="00F8626C" w:rsidRDefault="00F862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C95" w:rsidRDefault="002C6C95" w:rsidP="00F8626C">
      <w:r>
        <w:separator/>
      </w:r>
    </w:p>
  </w:footnote>
  <w:footnote w:type="continuationSeparator" w:id="1">
    <w:p w:rsidR="002C6C95" w:rsidRDefault="002C6C95" w:rsidP="00F86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6C" w:rsidRDefault="004450B3">
    <w:pPr>
      <w:pStyle w:val="a8"/>
      <w:jc w:val="right"/>
    </w:pPr>
    <w:r w:rsidRPr="004450B3">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55pt;width:165.85pt;height:18.95pt;z-index:251658240">
          <v:imagedata r:id="rId1" o:title=""/>
          <w10:wrap type="topAndBottom"/>
        </v:shape>
        <o:OLEObject Type="Embed" ProgID="Word.Picture.8" ShapeID="_x0000_s2049" DrawAspect="Content" ObjectID="_1574863717" r:id="rId2"/>
      </w:pict>
    </w:r>
    <w:r w:rsidR="00C0614F">
      <w:rPr>
        <w:rFonts w:hint="eastAsia"/>
      </w:rPr>
      <w:t>南方现金增利基金托管协议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1">
    <w:nsid w:val="65164B80"/>
    <w:multiLevelType w:val="multilevel"/>
    <w:tmpl w:val="65164B80"/>
    <w:lvl w:ilvl="0">
      <w:start w:val="1"/>
      <w:numFmt w:val="chineseCountingThousand"/>
      <w:pStyle w:val="1"/>
      <w:isLgl/>
      <w:lvlText w:val="%1、"/>
      <w:lvlJc w:val="left"/>
      <w:pPr>
        <w:tabs>
          <w:tab w:val="left" w:pos="720"/>
        </w:tabs>
        <w:ind w:left="425" w:hanging="425"/>
      </w:pPr>
      <w:rPr>
        <w:rFonts w:hint="eastAsia"/>
      </w:rPr>
    </w:lvl>
    <w:lvl w:ilvl="1">
      <w:start w:val="1"/>
      <w:numFmt w:val="chineseCountingThousand"/>
      <w:lvlText w:val="%2、"/>
      <w:lvlJc w:val="left"/>
      <w:pPr>
        <w:tabs>
          <w:tab w:val="left" w:pos="720"/>
        </w:tabs>
        <w:ind w:left="0" w:firstLine="0"/>
      </w:pPr>
      <w:rPr>
        <w:rFonts w:hint="eastAsia"/>
      </w:rPr>
    </w:lvl>
    <w:lvl w:ilvl="2">
      <w:start w:val="1"/>
      <w:numFmt w:val="decimal"/>
      <w:isLgl/>
      <w:lvlText w:val="%1.%2.%3"/>
      <w:lvlJc w:val="left"/>
      <w:pPr>
        <w:tabs>
          <w:tab w:val="left" w:pos="720"/>
        </w:tabs>
        <w:ind w:left="0" w:firstLine="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links">
    <w15:presenceInfo w15:providerId="None" w15:userId="Llinks"/>
  </w15:person>
  <w15:person w15:author="林斯彬">
    <w15:presenceInfo w15:providerId="None" w15:userId="林斯彬"/>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DFD"/>
    <w:rsid w:val="00047542"/>
    <w:rsid w:val="00077E99"/>
    <w:rsid w:val="00081A38"/>
    <w:rsid w:val="000B367D"/>
    <w:rsid w:val="00120DFD"/>
    <w:rsid w:val="001439F5"/>
    <w:rsid w:val="0015498C"/>
    <w:rsid w:val="001B799D"/>
    <w:rsid w:val="00255836"/>
    <w:rsid w:val="002867E0"/>
    <w:rsid w:val="002C6C95"/>
    <w:rsid w:val="00301532"/>
    <w:rsid w:val="003D4154"/>
    <w:rsid w:val="004150B8"/>
    <w:rsid w:val="004450B3"/>
    <w:rsid w:val="0046459B"/>
    <w:rsid w:val="00483599"/>
    <w:rsid w:val="004B65C4"/>
    <w:rsid w:val="004E0768"/>
    <w:rsid w:val="005001D5"/>
    <w:rsid w:val="005041CA"/>
    <w:rsid w:val="0050551B"/>
    <w:rsid w:val="00633F82"/>
    <w:rsid w:val="00640468"/>
    <w:rsid w:val="006A4D89"/>
    <w:rsid w:val="006A72D2"/>
    <w:rsid w:val="007137F4"/>
    <w:rsid w:val="00752FEC"/>
    <w:rsid w:val="007A18B4"/>
    <w:rsid w:val="008438B7"/>
    <w:rsid w:val="00853A9C"/>
    <w:rsid w:val="00944334"/>
    <w:rsid w:val="009D439A"/>
    <w:rsid w:val="00A14E47"/>
    <w:rsid w:val="00A345B1"/>
    <w:rsid w:val="00A3544D"/>
    <w:rsid w:val="00A7759E"/>
    <w:rsid w:val="00AB3391"/>
    <w:rsid w:val="00B1233B"/>
    <w:rsid w:val="00B41192"/>
    <w:rsid w:val="00B56BA1"/>
    <w:rsid w:val="00B94C40"/>
    <w:rsid w:val="00BE00AD"/>
    <w:rsid w:val="00C0614F"/>
    <w:rsid w:val="00C664D5"/>
    <w:rsid w:val="00C67F45"/>
    <w:rsid w:val="00CB72D0"/>
    <w:rsid w:val="00D06FCD"/>
    <w:rsid w:val="00DA2A0D"/>
    <w:rsid w:val="00E239D9"/>
    <w:rsid w:val="00E304DA"/>
    <w:rsid w:val="00E3697F"/>
    <w:rsid w:val="00EA06D6"/>
    <w:rsid w:val="00EC32A2"/>
    <w:rsid w:val="00F67928"/>
    <w:rsid w:val="00F8626C"/>
    <w:rsid w:val="00FB73B1"/>
    <w:rsid w:val="00FE478C"/>
    <w:rsid w:val="00FF3472"/>
    <w:rsid w:val="3B436631"/>
    <w:rsid w:val="5DD12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unhideWhenUsed="1"/>
    <w:lsdException w:name="annotation text" w:semiHidden="0"/>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semiHidden="0"/>
    <w:lsdException w:name="toa heading" w:unhideWhenUsed="1"/>
    <w:lsdException w:name="List" w:unhideWhenUsed="1"/>
    <w:lsdException w:name="List Bullet" w:semiHidden="0"/>
    <w:lsdException w:name="List Number" w:semiHidden="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semiHidden="0" w:uiPriority="1" w:unhideWhenUsed="1" w:qFormat="1"/>
    <w:lsdException w:name="Body Text" w:unhideWhenUsed="1"/>
    <w:lsdException w:name="Body Text Indent" w:unhideWhenUsed="1"/>
    <w:lsdException w:name="List Continue" w:unhideWhenUsed="1"/>
    <w:lsdException w:name="List Continue 2" w:unhideWhenUsed="1"/>
    <w:lsdException w:name="List Continue 3" w:semiHidden="0"/>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qFormat="1"/>
    <w:lsdException w:name="Block Text" w:unhideWhenUsed="1"/>
    <w:lsdException w:name="Hyperlink" w:semiHidden="0"/>
    <w:lsdException w:name="FollowedHyperlink" w:unhideWhenUsed="1"/>
    <w:lsdException w:name="Strong" w:semiHidden="0" w:qFormat="1"/>
    <w:lsdException w:name="Emphasis" w:semiHidden="0" w:qFormat="1"/>
    <w:lsdException w:name="Document Map" w:semiHidden="0"/>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8626C"/>
    <w:pPr>
      <w:widowControl w:val="0"/>
      <w:jc w:val="both"/>
    </w:pPr>
    <w:rPr>
      <w:kern w:val="2"/>
      <w:sz w:val="21"/>
      <w:szCs w:val="24"/>
    </w:rPr>
  </w:style>
  <w:style w:type="paragraph" w:styleId="1">
    <w:name w:val="heading 1"/>
    <w:basedOn w:val="a"/>
    <w:next w:val="a"/>
    <w:qFormat/>
    <w:rsid w:val="00F8626C"/>
    <w:pPr>
      <w:keepNext/>
      <w:keepLines/>
      <w:numPr>
        <w:numId w:val="1"/>
      </w:numPr>
      <w:spacing w:before="340" w:after="330" w:line="578" w:lineRule="auto"/>
      <w:outlineLvl w:val="0"/>
    </w:pPr>
    <w:rPr>
      <w:b/>
      <w:bCs/>
      <w:kern w:val="44"/>
      <w:sz w:val="44"/>
      <w:szCs w:val="44"/>
    </w:rPr>
  </w:style>
  <w:style w:type="paragraph" w:styleId="20">
    <w:name w:val="heading 2"/>
    <w:basedOn w:val="a"/>
    <w:next w:val="a"/>
    <w:qFormat/>
    <w:rsid w:val="00F8626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F8626C"/>
    <w:rPr>
      <w:b/>
      <w:bCs/>
    </w:rPr>
  </w:style>
  <w:style w:type="paragraph" w:styleId="a4">
    <w:name w:val="annotation text"/>
    <w:basedOn w:val="a"/>
    <w:link w:val="Char0"/>
    <w:rsid w:val="00F8626C"/>
    <w:pPr>
      <w:jc w:val="left"/>
    </w:pPr>
  </w:style>
  <w:style w:type="paragraph" w:styleId="7">
    <w:name w:val="toc 7"/>
    <w:basedOn w:val="a"/>
    <w:next w:val="a"/>
    <w:semiHidden/>
    <w:qFormat/>
    <w:rsid w:val="00F8626C"/>
    <w:pPr>
      <w:ind w:leftChars="1200" w:left="2520"/>
    </w:pPr>
  </w:style>
  <w:style w:type="paragraph" w:styleId="a5">
    <w:name w:val="Document Map"/>
    <w:basedOn w:val="a"/>
    <w:link w:val="Char1"/>
    <w:rsid w:val="00F8626C"/>
    <w:rPr>
      <w:rFonts w:ascii="宋体"/>
      <w:sz w:val="18"/>
      <w:szCs w:val="18"/>
    </w:rPr>
  </w:style>
  <w:style w:type="paragraph" w:styleId="5">
    <w:name w:val="toc 5"/>
    <w:basedOn w:val="a"/>
    <w:next w:val="a"/>
    <w:semiHidden/>
    <w:qFormat/>
    <w:rsid w:val="00F8626C"/>
    <w:pPr>
      <w:ind w:leftChars="800" w:left="1680"/>
    </w:pPr>
  </w:style>
  <w:style w:type="paragraph" w:styleId="3">
    <w:name w:val="toc 3"/>
    <w:basedOn w:val="a"/>
    <w:next w:val="a"/>
    <w:semiHidden/>
    <w:qFormat/>
    <w:rsid w:val="00F8626C"/>
    <w:pPr>
      <w:ind w:leftChars="400" w:left="840"/>
    </w:pPr>
  </w:style>
  <w:style w:type="paragraph" w:styleId="8">
    <w:name w:val="toc 8"/>
    <w:basedOn w:val="a"/>
    <w:next w:val="a"/>
    <w:semiHidden/>
    <w:qFormat/>
    <w:rsid w:val="00F8626C"/>
    <w:pPr>
      <w:ind w:leftChars="1400" w:left="2940"/>
    </w:pPr>
  </w:style>
  <w:style w:type="paragraph" w:styleId="a6">
    <w:name w:val="Balloon Text"/>
    <w:basedOn w:val="a"/>
    <w:link w:val="Char2"/>
    <w:rsid w:val="00F8626C"/>
    <w:rPr>
      <w:sz w:val="18"/>
      <w:szCs w:val="18"/>
    </w:rPr>
  </w:style>
  <w:style w:type="paragraph" w:styleId="a7">
    <w:name w:val="footer"/>
    <w:basedOn w:val="a"/>
    <w:qFormat/>
    <w:rsid w:val="00F8626C"/>
    <w:pPr>
      <w:tabs>
        <w:tab w:val="center" w:pos="4153"/>
        <w:tab w:val="right" w:pos="8306"/>
      </w:tabs>
      <w:snapToGrid w:val="0"/>
      <w:jc w:val="left"/>
    </w:pPr>
    <w:rPr>
      <w:sz w:val="18"/>
      <w:szCs w:val="18"/>
    </w:rPr>
  </w:style>
  <w:style w:type="paragraph" w:styleId="a8">
    <w:name w:val="header"/>
    <w:basedOn w:val="a"/>
    <w:qFormat/>
    <w:rsid w:val="00F8626C"/>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F8626C"/>
    <w:pPr>
      <w:spacing w:line="300" w:lineRule="auto"/>
    </w:pPr>
    <w:rPr>
      <w:sz w:val="24"/>
    </w:rPr>
  </w:style>
  <w:style w:type="paragraph" w:styleId="4">
    <w:name w:val="toc 4"/>
    <w:basedOn w:val="a"/>
    <w:next w:val="a"/>
    <w:semiHidden/>
    <w:qFormat/>
    <w:rsid w:val="00F8626C"/>
    <w:pPr>
      <w:ind w:leftChars="600" w:left="1260"/>
    </w:pPr>
  </w:style>
  <w:style w:type="paragraph" w:styleId="6">
    <w:name w:val="toc 6"/>
    <w:basedOn w:val="a"/>
    <w:next w:val="a"/>
    <w:semiHidden/>
    <w:qFormat/>
    <w:rsid w:val="00F8626C"/>
    <w:pPr>
      <w:ind w:leftChars="1000" w:left="2100"/>
    </w:pPr>
  </w:style>
  <w:style w:type="paragraph" w:styleId="30">
    <w:name w:val="Body Text Indent 3"/>
    <w:basedOn w:val="a"/>
    <w:qFormat/>
    <w:rsid w:val="00F8626C"/>
    <w:pPr>
      <w:spacing w:line="400" w:lineRule="exact"/>
      <w:ind w:firstLine="600"/>
    </w:pPr>
    <w:rPr>
      <w:rFonts w:ascii="宋体"/>
      <w:sz w:val="28"/>
      <w:szCs w:val="20"/>
    </w:rPr>
  </w:style>
  <w:style w:type="paragraph" w:styleId="21">
    <w:name w:val="toc 2"/>
    <w:basedOn w:val="a"/>
    <w:next w:val="a"/>
    <w:semiHidden/>
    <w:qFormat/>
    <w:rsid w:val="00F8626C"/>
    <w:pPr>
      <w:ind w:leftChars="200" w:left="420"/>
    </w:pPr>
  </w:style>
  <w:style w:type="paragraph" w:styleId="9">
    <w:name w:val="toc 9"/>
    <w:basedOn w:val="a"/>
    <w:next w:val="a"/>
    <w:semiHidden/>
    <w:qFormat/>
    <w:rsid w:val="00F8626C"/>
    <w:pPr>
      <w:ind w:leftChars="1600" w:left="3360"/>
    </w:pPr>
  </w:style>
  <w:style w:type="paragraph" w:styleId="a9">
    <w:name w:val="Title"/>
    <w:basedOn w:val="a"/>
    <w:qFormat/>
    <w:rsid w:val="00F8626C"/>
    <w:pPr>
      <w:spacing w:before="240" w:after="60" w:line="360" w:lineRule="auto"/>
      <w:ind w:firstLine="425"/>
      <w:jc w:val="center"/>
      <w:outlineLvl w:val="0"/>
    </w:pPr>
    <w:rPr>
      <w:rFonts w:ascii="Arial" w:hAnsi="Arial"/>
      <w:b/>
      <w:sz w:val="32"/>
      <w:szCs w:val="20"/>
    </w:rPr>
  </w:style>
  <w:style w:type="character" w:styleId="aa">
    <w:name w:val="page number"/>
    <w:basedOn w:val="a0"/>
    <w:qFormat/>
    <w:rsid w:val="00F8626C"/>
  </w:style>
  <w:style w:type="character" w:styleId="ab">
    <w:name w:val="Hyperlink"/>
    <w:rsid w:val="00F8626C"/>
    <w:rPr>
      <w:color w:val="0000FF"/>
      <w:u w:val="single"/>
    </w:rPr>
  </w:style>
  <w:style w:type="character" w:styleId="ac">
    <w:name w:val="annotation reference"/>
    <w:rsid w:val="00F8626C"/>
    <w:rPr>
      <w:sz w:val="21"/>
      <w:szCs w:val="21"/>
    </w:rPr>
  </w:style>
  <w:style w:type="paragraph" w:customStyle="1" w:styleId="2">
    <w:name w:val="列表2"/>
    <w:basedOn w:val="a"/>
    <w:next w:val="a9"/>
    <w:qFormat/>
    <w:rsid w:val="00F8626C"/>
    <w:pPr>
      <w:numPr>
        <w:numId w:val="2"/>
      </w:numPr>
      <w:tabs>
        <w:tab w:val="clear" w:pos="907"/>
        <w:tab w:val="left" w:pos="360"/>
      </w:tabs>
      <w:spacing w:line="360" w:lineRule="auto"/>
      <w:ind w:left="0" w:firstLine="0"/>
    </w:pPr>
    <w:rPr>
      <w:szCs w:val="20"/>
    </w:rPr>
  </w:style>
  <w:style w:type="paragraph" w:customStyle="1" w:styleId="11">
    <w:name w:val="列表1"/>
    <w:basedOn w:val="a"/>
    <w:next w:val="a"/>
    <w:qFormat/>
    <w:rsid w:val="00F8626C"/>
    <w:pPr>
      <w:tabs>
        <w:tab w:val="left" w:pos="644"/>
      </w:tabs>
      <w:spacing w:line="360" w:lineRule="auto"/>
      <w:ind w:left="567" w:hanging="283"/>
    </w:pPr>
    <w:rPr>
      <w:szCs w:val="20"/>
    </w:rPr>
  </w:style>
  <w:style w:type="paragraph" w:customStyle="1" w:styleId="Char20">
    <w:name w:val="Char2"/>
    <w:basedOn w:val="a"/>
    <w:rsid w:val="00F8626C"/>
  </w:style>
  <w:style w:type="character" w:customStyle="1" w:styleId="Char1">
    <w:name w:val="文档结构图 Char"/>
    <w:link w:val="a5"/>
    <w:rsid w:val="00F8626C"/>
    <w:rPr>
      <w:rFonts w:ascii="宋体"/>
      <w:kern w:val="2"/>
      <w:sz w:val="18"/>
      <w:szCs w:val="18"/>
    </w:rPr>
  </w:style>
  <w:style w:type="character" w:customStyle="1" w:styleId="Char2">
    <w:name w:val="批注框文本 Char"/>
    <w:link w:val="a6"/>
    <w:rsid w:val="00F8626C"/>
    <w:rPr>
      <w:kern w:val="2"/>
      <w:sz w:val="18"/>
      <w:szCs w:val="18"/>
    </w:rPr>
  </w:style>
  <w:style w:type="paragraph" w:customStyle="1" w:styleId="12">
    <w:name w:val="修订1"/>
    <w:hidden/>
    <w:uiPriority w:val="99"/>
    <w:semiHidden/>
    <w:rsid w:val="00F8626C"/>
    <w:rPr>
      <w:kern w:val="2"/>
      <w:sz w:val="21"/>
      <w:szCs w:val="24"/>
    </w:rPr>
  </w:style>
  <w:style w:type="character" w:customStyle="1" w:styleId="Char0">
    <w:name w:val="批注文字 Char"/>
    <w:link w:val="a4"/>
    <w:rsid w:val="00F8626C"/>
    <w:rPr>
      <w:kern w:val="2"/>
      <w:sz w:val="21"/>
      <w:szCs w:val="24"/>
    </w:rPr>
  </w:style>
  <w:style w:type="character" w:customStyle="1" w:styleId="Char">
    <w:name w:val="批注主题 Char"/>
    <w:link w:val="a3"/>
    <w:rsid w:val="00F8626C"/>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6DCB9DA-9265-45A3-A456-A35A5D5BC9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2359</Words>
  <Characters>13448</Characters>
  <Application>Microsoft Office Word</Application>
  <DocSecurity>0</DocSecurity>
  <Lines>112</Lines>
  <Paragraphs>31</Paragraphs>
  <ScaleCrop>false</ScaleCrop>
  <Company>CSFM</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南方现金增利基金托管协议</dc:title>
  <dc:creator>wrk</dc:creator>
  <cp:lastModifiedBy>流动性新规</cp:lastModifiedBy>
  <cp:revision>3</cp:revision>
  <cp:lastPrinted>2007-09-21T09:48:00Z</cp:lastPrinted>
  <dcterms:created xsi:type="dcterms:W3CDTF">2017-12-15T08:07:00Z</dcterms:created>
  <dcterms:modified xsi:type="dcterms:W3CDTF">2017-12-15T09:22:00Z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