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72" w:rsidRDefault="009D1272" w:rsidP="009D1272">
      <w:pPr>
        <w:pStyle w:val="2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333333"/>
          <w:sz w:val="33"/>
          <w:szCs w:val="33"/>
        </w:rPr>
      </w:pPr>
      <w:r>
        <w:rPr>
          <w:rFonts w:ascii="微软雅黑" w:eastAsia="微软雅黑" w:hAnsi="微软雅黑" w:hint="eastAsia"/>
          <w:color w:val="333333"/>
          <w:sz w:val="33"/>
          <w:szCs w:val="33"/>
        </w:rPr>
        <w:t>广发基金管理有限公司关于</w:t>
      </w:r>
      <w:proofErr w:type="gramStart"/>
      <w:r>
        <w:rPr>
          <w:rFonts w:ascii="微软雅黑" w:eastAsia="微软雅黑" w:hAnsi="微软雅黑" w:hint="eastAsia"/>
          <w:color w:val="333333"/>
          <w:sz w:val="33"/>
          <w:szCs w:val="33"/>
        </w:rPr>
        <w:t>广发沪港</w:t>
      </w:r>
      <w:proofErr w:type="gramEnd"/>
      <w:r>
        <w:rPr>
          <w:rFonts w:ascii="微软雅黑" w:eastAsia="微软雅黑" w:hAnsi="微软雅黑" w:hint="eastAsia"/>
          <w:color w:val="333333"/>
          <w:sz w:val="33"/>
          <w:szCs w:val="33"/>
        </w:rPr>
        <w:t>深新机遇股票型证券投资基金分红公告</w:t>
      </w:r>
    </w:p>
    <w:p w:rsidR="009D1272" w:rsidRPr="009D1272" w:rsidRDefault="009D1272" w:rsidP="009D1272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</w:p>
    <w:p w:rsidR="009D1272" w:rsidRPr="009D1272" w:rsidRDefault="009D1272" w:rsidP="009D1272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9D127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1 公告基本信息</w:t>
      </w:r>
    </w:p>
    <w:tbl>
      <w:tblPr>
        <w:tblW w:w="103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8"/>
        <w:gridCol w:w="1970"/>
        <w:gridCol w:w="5197"/>
      </w:tblGrid>
      <w:tr w:rsidR="009D1272" w:rsidRPr="009D1272" w:rsidTr="009D1272">
        <w:tc>
          <w:tcPr>
            <w:tcW w:w="477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86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proofErr w:type="gramStart"/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广发沪港</w:t>
            </w:r>
            <w:proofErr w:type="gramEnd"/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深新机遇股票型证券投资基金</w:t>
            </w:r>
          </w:p>
        </w:tc>
      </w:tr>
      <w:tr w:rsidR="009D1272" w:rsidRPr="009D1272" w:rsidTr="009D1272">
        <w:tc>
          <w:tcPr>
            <w:tcW w:w="4778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proofErr w:type="gramStart"/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广发沪港</w:t>
            </w:r>
            <w:proofErr w:type="gramEnd"/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深新机遇股票</w:t>
            </w:r>
          </w:p>
        </w:tc>
      </w:tr>
      <w:tr w:rsidR="009D1272" w:rsidRPr="009D1272" w:rsidTr="009D1272">
        <w:tc>
          <w:tcPr>
            <w:tcW w:w="4778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001764</w:t>
            </w:r>
          </w:p>
        </w:tc>
      </w:tr>
      <w:tr w:rsidR="009D1272" w:rsidRPr="009D1272" w:rsidTr="009D1272">
        <w:tc>
          <w:tcPr>
            <w:tcW w:w="4778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基金合同生效日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2016年5月27日</w:t>
            </w:r>
          </w:p>
        </w:tc>
      </w:tr>
      <w:tr w:rsidR="009D1272" w:rsidRPr="009D1272" w:rsidTr="009D1272">
        <w:tc>
          <w:tcPr>
            <w:tcW w:w="4778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广发基金管理有限公司</w:t>
            </w:r>
          </w:p>
        </w:tc>
      </w:tr>
      <w:tr w:rsidR="009D1272" w:rsidRPr="009D1272" w:rsidTr="009D1272">
        <w:tc>
          <w:tcPr>
            <w:tcW w:w="4778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基金托管人名称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9D1272" w:rsidRPr="009D1272" w:rsidTr="009D1272">
        <w:tc>
          <w:tcPr>
            <w:tcW w:w="4778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《中华人民共和国证券投资基金法》及其配套法规、《广发沪港深新机遇股票型证券投资基金基金合同》、《广发沪港深新机遇股票型证券投资基金招募说明书》</w:t>
            </w:r>
          </w:p>
        </w:tc>
      </w:tr>
      <w:tr w:rsidR="009D1272" w:rsidRPr="009D1272" w:rsidTr="009D1272">
        <w:tc>
          <w:tcPr>
            <w:tcW w:w="4778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收益分配基准日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2017年11月6日</w:t>
            </w:r>
          </w:p>
        </w:tc>
      </w:tr>
      <w:tr w:rsidR="009D1272" w:rsidRPr="009D1272" w:rsidTr="009D1272">
        <w:tc>
          <w:tcPr>
            <w:tcW w:w="4778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有关年度分红次数的说明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本次分红为2017年度的第1次分红</w:t>
            </w:r>
          </w:p>
        </w:tc>
      </w:tr>
      <w:tr w:rsidR="009D1272" w:rsidRPr="009D1272" w:rsidTr="009D1272">
        <w:tc>
          <w:tcPr>
            <w:tcW w:w="293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截止收益分配基准日的相关指标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基准日基金份额净值</w:t>
            </w: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（单位：</w:t>
            </w: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元</w:t>
            </w: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）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1.2900</w:t>
            </w:r>
          </w:p>
        </w:tc>
      </w:tr>
      <w:tr w:rsidR="009D1272" w:rsidRPr="009D1272" w:rsidTr="009D1272"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9D1272" w:rsidRPr="009D1272" w:rsidRDefault="009D1272" w:rsidP="009D1272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基准日基金可供分配利润</w:t>
            </w: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（单位：</w:t>
            </w: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元</w:t>
            </w: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）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146,644,661.66</w:t>
            </w:r>
          </w:p>
        </w:tc>
      </w:tr>
      <w:tr w:rsidR="009D1272" w:rsidRPr="009D1272" w:rsidTr="009D1272">
        <w:tc>
          <w:tcPr>
            <w:tcW w:w="4778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本次分红方案（单位：元/10份基金份额）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1.370</w:t>
            </w:r>
          </w:p>
        </w:tc>
      </w:tr>
    </w:tbl>
    <w:p w:rsidR="009D1272" w:rsidRPr="009D1272" w:rsidRDefault="009D1272" w:rsidP="009D1272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D127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lastRenderedPageBreak/>
        <w:t xml:space="preserve">　　2 与分红相关的其他信息</w:t>
      </w:r>
    </w:p>
    <w:tbl>
      <w:tblPr>
        <w:tblW w:w="103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4"/>
        <w:gridCol w:w="6921"/>
      </w:tblGrid>
      <w:tr w:rsidR="009D1272" w:rsidRPr="009D1272" w:rsidTr="009D1272">
        <w:tc>
          <w:tcPr>
            <w:tcW w:w="43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权益登记日</w:t>
            </w:r>
          </w:p>
        </w:tc>
        <w:tc>
          <w:tcPr>
            <w:tcW w:w="435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2017年11月15日</w:t>
            </w:r>
          </w:p>
        </w:tc>
      </w:tr>
      <w:tr w:rsidR="009D1272" w:rsidRPr="009D1272" w:rsidTr="009D1272">
        <w:tc>
          <w:tcPr>
            <w:tcW w:w="435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除息日</w:t>
            </w:r>
          </w:p>
        </w:tc>
        <w:tc>
          <w:tcPr>
            <w:tcW w:w="87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2017年11月15日（场外）</w:t>
            </w:r>
          </w:p>
        </w:tc>
      </w:tr>
      <w:tr w:rsidR="009D1272" w:rsidRPr="009D1272" w:rsidTr="009D1272">
        <w:tc>
          <w:tcPr>
            <w:tcW w:w="435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现金红利发放日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2017年11月17日</w:t>
            </w:r>
          </w:p>
        </w:tc>
      </w:tr>
      <w:tr w:rsidR="009D1272" w:rsidRPr="009D1272" w:rsidTr="009D1272">
        <w:tc>
          <w:tcPr>
            <w:tcW w:w="435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分红对象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权益登记日在本公司登记在册的本基金份额的全体持有人</w:t>
            </w:r>
          </w:p>
        </w:tc>
      </w:tr>
      <w:tr w:rsidR="009D1272" w:rsidRPr="009D1272" w:rsidTr="009D1272">
        <w:tc>
          <w:tcPr>
            <w:tcW w:w="435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红利再投资相关事项的说明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选择红利再投资方式的投资者由红利转得的基金份额将以2017年11月15日的基金份额净值为计算基准确定，本公司对红利再投资所得的基金份额进行确认并通知各销售机构。2017年11月17日起投资者可以查询、赎回。</w:t>
            </w:r>
          </w:p>
        </w:tc>
      </w:tr>
      <w:tr w:rsidR="009D1272" w:rsidRPr="009D1272" w:rsidTr="009D1272">
        <w:tc>
          <w:tcPr>
            <w:tcW w:w="435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税收相关事项的说明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根据财政部、国家税务总局的财税字[2002]128号《财政部、国家税务总局关于开放式证券投资基金有关税收问题的通知》，基金向投资者分配的基金收益，暂免征收所得税。</w:t>
            </w:r>
          </w:p>
        </w:tc>
      </w:tr>
      <w:tr w:rsidR="009D1272" w:rsidRPr="009D1272" w:rsidTr="009D1272">
        <w:tc>
          <w:tcPr>
            <w:tcW w:w="435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费用相关事项的说明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9D1272" w:rsidRPr="009D1272" w:rsidRDefault="009D1272" w:rsidP="009D1272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9D1272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本基金本次分红免收分红手续费。</w:t>
            </w:r>
          </w:p>
        </w:tc>
      </w:tr>
    </w:tbl>
    <w:p w:rsidR="009D1272" w:rsidRPr="009D1272" w:rsidRDefault="009D1272" w:rsidP="009D1272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D127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3 其他需要提示的事项</w:t>
      </w:r>
    </w:p>
    <w:p w:rsidR="009D1272" w:rsidRPr="009D1272" w:rsidRDefault="009D1272" w:rsidP="009D1272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D127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1、权益登记日申请申购的基金份额不享有本次分红权益，权益登记日申请赎回的基金份额享有本次分红权益。</w:t>
      </w:r>
    </w:p>
    <w:p w:rsidR="009D1272" w:rsidRPr="009D1272" w:rsidRDefault="009D1272" w:rsidP="009D1272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D127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2、对于未选择具体分红方式的投资者，本基金默认的分红方式为现金方式。</w:t>
      </w:r>
    </w:p>
    <w:p w:rsidR="009D1272" w:rsidRPr="009D1272" w:rsidRDefault="009D1272" w:rsidP="009D1272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D127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3、投资者可以在基金开放日的交易时间内到销售网点修改分红方式，本次分红确认的方式将按照投资者在权益登记日之前（不含2017年11月15日）最后一次选择的分红方式为准。请投资者到销售网点或通过本公司客户服务中心：</w:t>
      </w:r>
      <w:r w:rsidRPr="009D127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lastRenderedPageBreak/>
        <w:t>95105828（免长途话费）确认分红方式是否正确，如不正确或希望修改分红方式的，请务必在规定时间前到销售网点办理变更手续。</w:t>
      </w:r>
    </w:p>
    <w:p w:rsidR="009D1272" w:rsidRPr="009D1272" w:rsidRDefault="009D1272" w:rsidP="009D1272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D127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4、建议基金份额持有人在修改分红方式后，在T+2日（申请修改分红方式之日为T日）后（含T+2日）向销售网点或本公司确认分红方式的修改是否成功。</w:t>
      </w:r>
    </w:p>
    <w:p w:rsidR="009D1272" w:rsidRPr="009D1272" w:rsidRDefault="009D1272" w:rsidP="009D1272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D127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风险提示：本基金分红并不改变本基金的风险收益特征，也不会因此降低基金投资风险或提高基金投资收益。本公司承诺以诚实信用、勤勉尽责的原则管理和运用基金资产，但不保证基金一定盈利，也不保证最低收益。敬请投资人注意投资风险。投资者欲了解有关分红的情况，可到办理业务的当地销售网点查询，也可以登录本公司网站（www.gffunds.com.cn）或拨打本公司客户服务电话：95105828（免长途话费）咨询相关事宜。</w:t>
      </w:r>
    </w:p>
    <w:p w:rsidR="009D1272" w:rsidRPr="009D1272" w:rsidRDefault="009D1272" w:rsidP="009D1272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D127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特此公告。</w:t>
      </w:r>
    </w:p>
    <w:p w:rsidR="009D1272" w:rsidRPr="009D1272" w:rsidRDefault="009D1272" w:rsidP="009D1272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D127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广发基金管理有限公司</w:t>
      </w:r>
    </w:p>
    <w:p w:rsidR="009D1272" w:rsidRPr="009D1272" w:rsidRDefault="009D1272" w:rsidP="009D1272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D1272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2017年11月13日</w:t>
      </w:r>
    </w:p>
    <w:p w:rsidR="009E6D28" w:rsidRPr="009D1272" w:rsidRDefault="009E6D28"/>
    <w:sectPr w:rsidR="009E6D28" w:rsidRPr="009D1272" w:rsidSect="009E6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72" w:rsidRDefault="009D1272" w:rsidP="009D1272">
      <w:r>
        <w:separator/>
      </w:r>
    </w:p>
  </w:endnote>
  <w:endnote w:type="continuationSeparator" w:id="0">
    <w:p w:rsidR="009D1272" w:rsidRDefault="009D1272" w:rsidP="009D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72" w:rsidRDefault="009D1272" w:rsidP="009D1272">
      <w:r>
        <w:separator/>
      </w:r>
    </w:p>
  </w:footnote>
  <w:footnote w:type="continuationSeparator" w:id="0">
    <w:p w:rsidR="009D1272" w:rsidRDefault="009D1272" w:rsidP="009D1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272"/>
    <w:rsid w:val="009D1272"/>
    <w:rsid w:val="009E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2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D12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2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27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D127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9D12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2</cp:revision>
  <dcterms:created xsi:type="dcterms:W3CDTF">2017-11-13T10:16:00Z</dcterms:created>
  <dcterms:modified xsi:type="dcterms:W3CDTF">2017-11-13T10:17:00Z</dcterms:modified>
</cp:coreProperties>
</file>